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eastAsia="方正小标宋简体"/>
          <w:sz w:val="36"/>
          <w:szCs w:val="30"/>
        </w:rPr>
        <w:t>附件</w:t>
      </w:r>
      <w:r>
        <w:rPr>
          <w:rFonts w:hint="eastAsia" w:eastAsia="方正小标宋简体"/>
          <w:sz w:val="36"/>
          <w:szCs w:val="30"/>
        </w:rPr>
        <w:t>1：</w:t>
      </w:r>
    </w:p>
    <w:p>
      <w:pPr>
        <w:adjustRightInd w:val="0"/>
        <w:snapToGrid w:val="0"/>
        <w:spacing w:after="156" w:afterLines="50" w:line="500" w:lineRule="exact"/>
        <w:jc w:val="center"/>
        <w:rPr>
          <w:rFonts w:hint="eastAsia" w:eastAsia="方正小标宋简体"/>
          <w:b/>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表学院需要落实的检查项目</w:t>
      </w:r>
    </w:p>
    <w:p>
      <w:pPr>
        <w:adjustRightInd w:val="0"/>
        <w:snapToGrid w:val="0"/>
        <w:spacing w:after="156" w:afterLines="50" w:line="500" w:lineRule="exact"/>
        <w:ind w:firstLine="4760" w:firstLineChars="1700"/>
        <w:rPr>
          <w:rFonts w:ascii="黑体" w:hAnsi="黑体" w:eastAsia="黑体"/>
          <w:b/>
          <w:sz w:val="36"/>
          <w:szCs w:val="30"/>
        </w:rPr>
      </w:pPr>
      <w:r>
        <w:rPr>
          <w:rFonts w:hint="eastAsia" w:ascii="黑体" w:hAnsi="黑体" w:eastAsia="黑体"/>
          <w:b/>
          <w:sz w:val="28"/>
          <w:szCs w:val="28"/>
        </w:rPr>
        <w:t>（以</w:t>
      </w:r>
      <w:r>
        <w:rPr>
          <w:rFonts w:hint="eastAsia" w:ascii="黑体" w:hAnsi="黑体" w:eastAsia="黑体"/>
          <w:b/>
          <w:sz w:val="28"/>
          <w:szCs w:val="28"/>
          <w:lang w:val="en-US" w:eastAsia="zh-CN"/>
        </w:rPr>
        <w:t>学院</w:t>
      </w:r>
      <w:r>
        <w:rPr>
          <w:rFonts w:hint="eastAsia" w:ascii="黑体" w:hAnsi="黑体" w:eastAsia="黑体"/>
          <w:b/>
          <w:sz w:val="28"/>
          <w:szCs w:val="28"/>
        </w:rPr>
        <w:t>为单位）</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shd w:val="clear" w:color="auto" w:fill="auto"/>
            <w:tcMar>
              <w:left w:w="45" w:type="dxa"/>
              <w:right w:w="45" w:type="dxa"/>
            </w:tcMar>
            <w:vAlign w:val="center"/>
          </w:tcPr>
          <w:p>
            <w:pPr>
              <w:spacing w:line="300" w:lineRule="exact"/>
              <w:jc w:val="center"/>
              <w:rPr>
                <w:rFonts w:eastAsia="黑体"/>
                <w:b/>
                <w:bCs/>
                <w:kern w:val="0"/>
                <w:szCs w:val="21"/>
              </w:rPr>
            </w:pPr>
            <w:bookmarkStart w:id="0" w:name="_GoBack"/>
            <w:bookmarkEnd w:id="0"/>
            <w:r>
              <w:rPr>
                <w:rFonts w:hint="eastAsia" w:eastAsia="黑体"/>
                <w:b/>
                <w:bCs/>
                <w:kern w:val="0"/>
                <w:szCs w:val="21"/>
              </w:rPr>
              <w:t>检查要点</w:t>
            </w:r>
          </w:p>
        </w:tc>
        <w:tc>
          <w:tcPr>
            <w:tcW w:w="2829" w:type="dxa"/>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shd w:val="clear" w:color="auto" w:fill="auto"/>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查财务证据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建立完整的实验室安全工作档案</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2</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有各类院系级实验安全管理制度</w:t>
            </w:r>
          </w:p>
        </w:tc>
        <w:tc>
          <w:tcPr>
            <w:tcW w:w="7374" w:type="dxa"/>
            <w:shd w:val="clear" w:color="auto" w:fill="auto"/>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3.1.1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逐步开设实验室安全必修课或选修课</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对于化学、生物、辐射等高风险的相关院系和专业，要逐步开设有学分的安全教育必修课，鼓励其他专业开设安全选修课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3.1.2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每年</w:t>
            </w:r>
            <w:r>
              <w:rPr>
                <w:color w:val="000000"/>
                <w:kern w:val="0"/>
                <w:szCs w:val="21"/>
              </w:rPr>
              <w:t>开展教工和学生安全教育培训</w:t>
            </w:r>
            <w:r>
              <w:rPr>
                <w:rFonts w:hint="eastAsia"/>
                <w:color w:val="000000"/>
                <w:kern w:val="0"/>
                <w:szCs w:val="21"/>
              </w:rPr>
              <w:t>活动</w:t>
            </w:r>
          </w:p>
        </w:tc>
        <w:tc>
          <w:tcPr>
            <w:tcW w:w="7374" w:type="dxa"/>
            <w:shd w:val="clear" w:color="auto" w:fill="auto"/>
            <w:tcMar>
              <w:left w:w="45" w:type="dxa"/>
              <w:right w:w="45" w:type="dxa"/>
            </w:tcMar>
            <w:vAlign w:val="center"/>
          </w:tcPr>
          <w:p>
            <w:pPr>
              <w:widowControl/>
              <w:spacing w:line="300" w:lineRule="exact"/>
              <w:rPr>
                <w:bCs/>
                <w:color w:val="000000"/>
                <w:kern w:val="0"/>
                <w:szCs w:val="21"/>
              </w:rPr>
            </w:pPr>
            <w:r>
              <w:rPr>
                <w:rFonts w:hint="eastAsia"/>
                <w:bCs/>
                <w:color w:val="000000"/>
                <w:kern w:val="0"/>
                <w:szCs w:val="21"/>
              </w:rPr>
              <w:t>查看历年存档记录，包含培训时间、内容、人数、通知、会场照片等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3.1.3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院</w:t>
            </w:r>
            <w:r>
              <w:rPr>
                <w:rFonts w:hint="eastAsia"/>
                <w:color w:val="000000"/>
                <w:kern w:val="0"/>
                <w:szCs w:val="21"/>
              </w:rPr>
              <w:t>系开展</w:t>
            </w:r>
            <w:r>
              <w:rPr>
                <w:color w:val="000000"/>
                <w:kern w:val="0"/>
                <w:szCs w:val="21"/>
              </w:rPr>
              <w:t>专业安全培训活动</w:t>
            </w:r>
          </w:p>
        </w:tc>
        <w:tc>
          <w:tcPr>
            <w:tcW w:w="7374" w:type="dxa"/>
            <w:shd w:val="clear" w:color="auto" w:fill="auto"/>
            <w:tcMar>
              <w:left w:w="45" w:type="dxa"/>
              <w:right w:w="45" w:type="dxa"/>
            </w:tcMar>
            <w:vAlign w:val="center"/>
          </w:tcPr>
          <w:p>
            <w:pPr>
              <w:widowControl/>
              <w:spacing w:line="300" w:lineRule="exact"/>
              <w:rPr>
                <w:bCs/>
                <w:color w:val="000000"/>
                <w:kern w:val="0"/>
                <w:szCs w:val="21"/>
              </w:rPr>
            </w:pPr>
            <w:r>
              <w:rPr>
                <w:rFonts w:hint="eastAsia"/>
                <w:bCs/>
                <w:color w:val="000000"/>
                <w:kern w:val="0"/>
                <w:szCs w:val="21"/>
              </w:rPr>
              <w:t>查看记录，</w:t>
            </w:r>
            <w:r>
              <w:rPr>
                <w:rFonts w:hint="eastAsia"/>
                <w:color w:val="000000"/>
                <w:kern w:val="0"/>
                <w:szCs w:val="21"/>
              </w:rPr>
              <w:t>重点</w:t>
            </w:r>
            <w:r>
              <w:rPr>
                <w:color w:val="000000"/>
                <w:kern w:val="0"/>
                <w:szCs w:val="21"/>
              </w:rPr>
              <w:t>关注</w:t>
            </w:r>
            <w:r>
              <w:rPr>
                <w:rFonts w:hint="eastAsia"/>
                <w:color w:val="000000"/>
                <w:kern w:val="0"/>
                <w:szCs w:val="21"/>
              </w:rPr>
              <w:t>外来人员特别是</w:t>
            </w:r>
            <w:r>
              <w:rPr>
                <w:color w:val="000000"/>
                <w:kern w:val="0"/>
                <w:szCs w:val="21"/>
              </w:rPr>
              <w:t>尚未报到的新生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3.1.4</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开展结合学科特点的应急演练</w:t>
            </w:r>
          </w:p>
        </w:tc>
        <w:tc>
          <w:tcPr>
            <w:tcW w:w="7374" w:type="dxa"/>
            <w:shd w:val="clear" w:color="auto" w:fill="auto"/>
            <w:tcMar>
              <w:left w:w="45" w:type="dxa"/>
              <w:right w:w="45" w:type="dxa"/>
            </w:tcMar>
            <w:vAlign w:val="center"/>
          </w:tcPr>
          <w:p>
            <w:pPr>
              <w:widowControl/>
              <w:spacing w:line="300" w:lineRule="exact"/>
              <w:rPr>
                <w:color w:val="000000"/>
                <w:kern w:val="0"/>
                <w:szCs w:val="21"/>
              </w:rPr>
            </w:pPr>
            <w:r>
              <w:rPr>
                <w:rFonts w:hint="eastAsia"/>
                <w:color w:val="000000"/>
                <w:kern w:val="0"/>
                <w:szCs w:val="21"/>
              </w:rPr>
              <w:t>查看档案</w:t>
            </w:r>
            <w:r>
              <w:rPr>
                <w:color w:val="000000"/>
                <w:kern w:val="0"/>
                <w:szCs w:val="21"/>
              </w:rPr>
              <w:t>，</w:t>
            </w:r>
            <w:r>
              <w:rPr>
                <w:rFonts w:hint="eastAsia"/>
                <w:color w:val="000000"/>
                <w:kern w:val="0"/>
                <w:szCs w:val="21"/>
              </w:rPr>
              <w:t>包含演练内容、人数、效果评价等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1</w:t>
            </w:r>
            <w:r>
              <w:rPr>
                <w:color w:val="000000"/>
                <w:kern w:val="0"/>
                <w:szCs w:val="21"/>
              </w:rPr>
              <w:t>.5</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组织</w:t>
            </w:r>
            <w:r>
              <w:rPr>
                <w:color w:val="000000"/>
                <w:kern w:val="0"/>
                <w:szCs w:val="21"/>
              </w:rPr>
              <w:t>实验室安全</w:t>
            </w:r>
            <w:r>
              <w:rPr>
                <w:rFonts w:hint="eastAsia"/>
                <w:color w:val="000000"/>
                <w:kern w:val="0"/>
                <w:szCs w:val="21"/>
              </w:rPr>
              <w:t>知识考试</w:t>
            </w:r>
          </w:p>
        </w:tc>
        <w:tc>
          <w:tcPr>
            <w:tcW w:w="7374"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建议题库内容包含通识类和各专业学科分类安全知识、安全规范、国家相关法律法规、应急措施等；</w:t>
            </w:r>
            <w:r>
              <w:rPr>
                <w:color w:val="000000"/>
                <w:kern w:val="0"/>
                <w:szCs w:val="21"/>
              </w:rPr>
              <w:t>新教工、新生</w:t>
            </w:r>
            <w:r>
              <w:rPr>
                <w:rFonts w:hint="eastAsia"/>
                <w:color w:val="000000"/>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3.</w:t>
            </w:r>
            <w:r>
              <w:rPr>
                <w:rFonts w:hint="eastAsia"/>
                <w:b/>
                <w:color w:val="000000"/>
                <w:kern w:val="0"/>
                <w:szCs w:val="21"/>
              </w:rPr>
              <w:t>2</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2</w:t>
            </w:r>
            <w:r>
              <w:rPr>
                <w:color w:val="000000"/>
                <w:kern w:val="0"/>
                <w:szCs w:val="21"/>
              </w:rPr>
              <w:t>.1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建设适合本院特色的安全文化</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院系</w:t>
            </w:r>
            <w:r>
              <w:rPr>
                <w:color w:val="000000"/>
                <w:kern w:val="0"/>
                <w:szCs w:val="21"/>
              </w:rPr>
              <w:t>网页设立专门的板块开展安全宣传、</w:t>
            </w:r>
            <w:r>
              <w:rPr>
                <w:rFonts w:hint="eastAsia"/>
                <w:color w:val="000000"/>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2</w:t>
            </w:r>
            <w:r>
              <w:rPr>
                <w:color w:val="000000"/>
                <w:kern w:val="0"/>
                <w:szCs w:val="21"/>
              </w:rPr>
              <w:t>.</w:t>
            </w:r>
            <w:r>
              <w:rPr>
                <w:rFonts w:hint="eastAsia"/>
                <w:color w:val="000000"/>
                <w:kern w:val="0"/>
                <w:szCs w:val="21"/>
              </w:rPr>
              <w:t>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创新宣传教育形式，加强</w:t>
            </w:r>
            <w:r>
              <w:rPr>
                <w:color w:val="000000"/>
                <w:kern w:val="0"/>
                <w:szCs w:val="21"/>
              </w:rPr>
              <w:t>安全文化</w:t>
            </w:r>
            <w:r>
              <w:rPr>
                <w:rFonts w:hint="eastAsia"/>
                <w:color w:val="000000"/>
                <w:kern w:val="0"/>
                <w:szCs w:val="21"/>
              </w:rPr>
              <w:t>建设</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通过微信</w:t>
            </w:r>
            <w:r>
              <w:rPr>
                <w:color w:val="000000"/>
                <w:kern w:val="0"/>
                <w:szCs w:val="21"/>
              </w:rPr>
              <w:t>公众号、</w:t>
            </w:r>
            <w:r>
              <w:rPr>
                <w:rFonts w:hint="eastAsia"/>
                <w:color w:val="000000"/>
                <w:kern w:val="0"/>
                <w:szCs w:val="21"/>
              </w:rPr>
              <w:t>安全工作</w:t>
            </w:r>
            <w:r>
              <w:rPr>
                <w:color w:val="000000"/>
                <w:kern w:val="0"/>
                <w:szCs w:val="21"/>
              </w:rPr>
              <w:t>简报、</w:t>
            </w:r>
            <w:r>
              <w:rPr>
                <w:rFonts w:hint="eastAsia"/>
                <w:color w:val="000000"/>
                <w:kern w:val="0"/>
                <w:szCs w:val="21"/>
              </w:rPr>
              <w:t>安全</w:t>
            </w:r>
            <w:r>
              <w:rPr>
                <w:color w:val="000000"/>
                <w:kern w:val="0"/>
                <w:szCs w:val="21"/>
              </w:rPr>
              <w:t>文化月、安全专项整治活动、</w:t>
            </w:r>
            <w:r>
              <w:rPr>
                <w:rFonts w:hint="eastAsia"/>
                <w:color w:val="000000"/>
                <w:kern w:val="0"/>
                <w:szCs w:val="21"/>
              </w:rPr>
              <w:t>实验室安全</w:t>
            </w:r>
            <w:r>
              <w:rPr>
                <w:color w:val="000000"/>
                <w:kern w:val="0"/>
                <w:szCs w:val="21"/>
              </w:rPr>
              <w:t>达标、</w:t>
            </w:r>
            <w:r>
              <w:rPr>
                <w:rFonts w:hint="eastAsia"/>
                <w:color w:val="000000"/>
                <w:kern w:val="0"/>
                <w:szCs w:val="21"/>
              </w:rPr>
              <w:t>实验室</w:t>
            </w:r>
            <w:r>
              <w:rPr>
                <w:color w:val="000000"/>
                <w:kern w:val="0"/>
                <w:szCs w:val="21"/>
              </w:rPr>
              <w:t>安全评估、安全知识竞赛、微电影拍摄等</w:t>
            </w:r>
            <w:r>
              <w:rPr>
                <w:rFonts w:hint="eastAsia"/>
                <w:color w:val="000000"/>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学院层面</w:t>
            </w:r>
            <w:r>
              <w:rPr>
                <w:rFonts w:hint="eastAsia"/>
                <w:bCs/>
                <w:kern w:val="0"/>
                <w:szCs w:val="21"/>
              </w:rPr>
              <w:t>建立危险源分布清单</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涉及危险源</w:t>
            </w:r>
            <w:r>
              <w:rPr>
                <w:bCs/>
                <w:color w:val="000000"/>
                <w:kern w:val="0"/>
                <w:szCs w:val="21"/>
              </w:rPr>
              <w:t>的实验场所，</w:t>
            </w:r>
            <w:r>
              <w:rPr>
                <w:rFonts w:hint="eastAsia"/>
                <w:bCs/>
                <w:color w:val="000000"/>
                <w:kern w:val="0"/>
                <w:szCs w:val="21"/>
              </w:rPr>
              <w:t>应</w:t>
            </w:r>
            <w:r>
              <w:rPr>
                <w:bCs/>
                <w:color w:val="000000"/>
                <w:kern w:val="0"/>
                <w:szCs w:val="21"/>
              </w:rPr>
              <w:t>有明确的</w:t>
            </w:r>
            <w:r>
              <w:rPr>
                <w:rFonts w:hint="eastAsia"/>
                <w:bCs/>
                <w:color w:val="000000"/>
                <w:kern w:val="0"/>
                <w:szCs w:val="21"/>
              </w:rPr>
              <w:t>警示</w:t>
            </w:r>
            <w:r>
              <w:rPr>
                <w:bCs/>
                <w:color w:val="000000"/>
                <w:kern w:val="0"/>
                <w:szCs w:val="21"/>
              </w:rPr>
              <w:t>标识</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涉及剧毒品、病原微生物、放射性同位素、强磁等高危场所，有显著明确的警示标识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shd w:val="clear" w:color="auto" w:fill="auto"/>
            <w:tcMar>
              <w:left w:w="45" w:type="dxa"/>
              <w:right w:w="45" w:type="dxa"/>
            </w:tcMar>
            <w:vAlign w:val="center"/>
          </w:tcPr>
          <w:p>
            <w:pPr>
              <w:spacing w:line="300" w:lineRule="exact"/>
              <w:jc w:val="left"/>
              <w:rPr>
                <w:bCs/>
                <w:kern w:val="0"/>
                <w:szCs w:val="21"/>
              </w:rPr>
            </w:pPr>
            <w:r>
              <w:rPr>
                <w:rFonts w:hint="eastAsia"/>
                <w:kern w:val="0"/>
                <w:szCs w:val="21"/>
              </w:rPr>
              <w:t>建议每月不少于1次，并记录存档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w:t>
            </w:r>
            <w:r>
              <w:rPr>
                <w:rFonts w:hint="eastAsia"/>
                <w:color w:val="000000"/>
                <w:kern w:val="0"/>
                <w:szCs w:val="21"/>
              </w:rPr>
              <w:t>2.3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针对高危实验物品开展专项检查</w:t>
            </w:r>
          </w:p>
        </w:tc>
        <w:tc>
          <w:tcPr>
            <w:tcW w:w="7374" w:type="dxa"/>
            <w:shd w:val="clear" w:color="auto" w:fill="auto"/>
            <w:tcMar>
              <w:left w:w="45" w:type="dxa"/>
              <w:right w:w="45" w:type="dxa"/>
            </w:tcMar>
            <w:vAlign w:val="center"/>
          </w:tcPr>
          <w:p>
            <w:pPr>
              <w:spacing w:line="300" w:lineRule="exact"/>
              <w:jc w:val="left"/>
              <w:rPr>
                <w:bCs/>
                <w:color w:val="000000"/>
                <w:kern w:val="0"/>
                <w:szCs w:val="21"/>
              </w:rPr>
            </w:pPr>
            <w:r>
              <w:rPr>
                <w:rFonts w:hint="eastAsia"/>
                <w:color w:val="000000"/>
                <w:kern w:val="0"/>
                <w:szCs w:val="21"/>
              </w:rPr>
              <w:t>针对剧毒品、</w:t>
            </w:r>
            <w:r>
              <w:rPr>
                <w:color w:val="000000"/>
                <w:kern w:val="0"/>
                <w:szCs w:val="21"/>
              </w:rPr>
              <w:t>病原微生物、</w:t>
            </w:r>
            <w:r>
              <w:rPr>
                <w:rFonts w:hint="eastAsia"/>
                <w:color w:val="000000"/>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.3.1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检查</w:t>
            </w:r>
            <w:r>
              <w:rPr>
                <w:rFonts w:hint="eastAsia"/>
                <w:color w:val="000000"/>
                <w:kern w:val="0"/>
                <w:szCs w:val="21"/>
              </w:rPr>
              <w:t>中发现的</w:t>
            </w:r>
            <w:r>
              <w:rPr>
                <w:color w:val="000000"/>
                <w:kern w:val="0"/>
                <w:szCs w:val="21"/>
              </w:rPr>
              <w:t>问题</w:t>
            </w:r>
            <w:r>
              <w:rPr>
                <w:rFonts w:hint="eastAsia"/>
                <w:color w:val="000000"/>
                <w:kern w:val="0"/>
                <w:szCs w:val="21"/>
              </w:rPr>
              <w:t>应以书面形式通知到相关负责人</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通知的方式包括校网上公告、实验室安全简报、整改通知书等形式。其中整改通知书要包含问题描述、整改要求和期限、职能部门盖章等，并由被</w:t>
            </w:r>
            <w:r>
              <w:rPr>
                <w:bCs/>
                <w:color w:val="000000"/>
                <w:kern w:val="0"/>
                <w:szCs w:val="21"/>
              </w:rPr>
              <w:t>查院系单位签收</w:t>
            </w:r>
            <w:r>
              <w:rPr>
                <w:rFonts w:hint="eastAsia"/>
                <w:bCs/>
                <w:color w:val="000000"/>
                <w:kern w:val="0"/>
                <w:szCs w:val="21"/>
              </w:rPr>
              <w:t>；修改</w:t>
            </w:r>
            <w:r>
              <w:rPr>
                <w:bCs/>
                <w:color w:val="000000"/>
                <w:kern w:val="0"/>
                <w:szCs w:val="21"/>
              </w:rPr>
              <w:t>资料规范存档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.3.2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院系应对问题隐患的进行及时</w:t>
            </w:r>
            <w:r>
              <w:rPr>
                <w:color w:val="000000"/>
                <w:kern w:val="0"/>
                <w:szCs w:val="21"/>
              </w:rPr>
              <w:t>整改</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整改报告应</w:t>
            </w:r>
            <w:r>
              <w:rPr>
                <w:color w:val="000000"/>
                <w:kern w:val="0"/>
                <w:szCs w:val="21"/>
              </w:rPr>
              <w:t>在规定时间内提交</w:t>
            </w:r>
            <w:r>
              <w:rPr>
                <w:rFonts w:hint="eastAsia"/>
                <w:color w:val="000000"/>
                <w:kern w:val="0"/>
                <w:szCs w:val="21"/>
              </w:rPr>
              <w:t>学校管理</w:t>
            </w:r>
            <w:r>
              <w:rPr>
                <w:color w:val="000000"/>
                <w:kern w:val="0"/>
                <w:szCs w:val="21"/>
              </w:rPr>
              <w:t>部门</w:t>
            </w:r>
            <w:r>
              <w:rPr>
                <w:rFonts w:hint="eastAsia"/>
                <w:color w:val="000000"/>
                <w:kern w:val="0"/>
                <w:szCs w:val="21"/>
              </w:rPr>
              <w:t>，并归档；如存在重大</w:t>
            </w:r>
            <w:r>
              <w:rPr>
                <w:color w:val="000000"/>
                <w:kern w:val="0"/>
                <w:szCs w:val="21"/>
              </w:rPr>
              <w:t>隐患，实验室</w:t>
            </w:r>
            <w:r>
              <w:rPr>
                <w:rFonts w:hint="eastAsia"/>
                <w:color w:val="000000"/>
                <w:kern w:val="0"/>
                <w:szCs w:val="21"/>
              </w:rPr>
              <w:t>应立即</w:t>
            </w:r>
            <w:r>
              <w:rPr>
                <w:color w:val="000000"/>
                <w:kern w:val="0"/>
                <w:szCs w:val="21"/>
              </w:rPr>
              <w:t>停止实验活动</w:t>
            </w:r>
            <w:r>
              <w:rPr>
                <w:rFonts w:hint="eastAsia"/>
                <w:color w:val="000000"/>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shd w:val="clear" w:color="auto" w:fill="auto"/>
            <w:tcMar>
              <w:left w:w="45" w:type="dxa"/>
              <w:right w:w="45" w:type="dxa"/>
            </w:tcMar>
            <w:vAlign w:val="center"/>
          </w:tcPr>
          <w:p>
            <w:pPr>
              <w:widowControl/>
              <w:spacing w:line="300" w:lineRule="exact"/>
              <w:jc w:val="left"/>
              <w:rPr>
                <w:szCs w:val="21"/>
              </w:rPr>
            </w:pPr>
            <w:r>
              <w:rPr>
                <w:rFonts w:hint="eastAsia"/>
                <w:szCs w:val="21"/>
              </w:rPr>
              <w:t>有危险源的实验场所应张贴安全信息牌</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建议超过</w:t>
            </w:r>
            <w:r>
              <w:rPr>
                <w:szCs w:val="21"/>
              </w:rPr>
              <w:t>200</w:t>
            </w:r>
            <w:r>
              <w:rPr>
                <w:rFonts w:hint="eastAsia"/>
                <w:szCs w:val="21"/>
              </w:rPr>
              <w:t>平方米的实验楼层具有至少两处紧急出口，</w:t>
            </w:r>
            <w:r>
              <w:rPr>
                <w:szCs w:val="21"/>
              </w:rPr>
              <w:t>75</w:t>
            </w:r>
            <w:r>
              <w:rPr>
                <w:rFonts w:hint="eastAsia"/>
                <w:szCs w:val="21"/>
              </w:rPr>
              <w:t>平方米以上实验室要有两扇门；实验楼大走廊保证留有大于2.0米净宽的消防通道；实验室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实验操作台应选用合格的防火、防腐材料；仪器设备安装符合建筑物承重载荷；有可燃气体的实验室不建议设吊顶；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shd w:val="clear" w:color="auto" w:fill="auto"/>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实验设备需做好振动和噪音的屏蔽</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容易产生振动的设备，需考虑振动源的屏蔽；易对外产生磁场或易受磁场干扰的设备，需做好磁屏蔽；实验室噪声一般低于55分贝（机械设备可低于70分贝）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shd w:val="clear" w:color="auto" w:fill="auto"/>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高温、明火设备放置位置与可燃气体管道有安全间隔距离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shd w:val="clear" w:color="auto" w:fill="auto"/>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shd w:val="clear" w:color="auto" w:fill="auto"/>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shd w:val="clear" w:color="auto" w:fill="auto"/>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不在实验室睡觉过夜，不存放和烧煮食物、饮食，化学生物类实验室不准吸烟、使用可燃性蚊香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shd w:val="clear" w:color="auto" w:fill="auto"/>
            <w:tcMar>
              <w:left w:w="45" w:type="dxa"/>
              <w:right w:w="45" w:type="dxa"/>
            </w:tcMar>
            <w:vAlign w:val="center"/>
          </w:tcPr>
          <w:p>
            <w:pPr>
              <w:spacing w:line="300" w:lineRule="exact"/>
              <w:jc w:val="left"/>
              <w:rPr>
                <w:bCs/>
                <w:szCs w:val="21"/>
              </w:rPr>
            </w:pPr>
            <w:r>
              <w:rPr>
                <w:rFonts w:hint="eastAsia"/>
                <w:bCs/>
                <w:szCs w:val="21"/>
              </w:rPr>
              <w:t>实验期间人员必须在岗，并有值日情况记录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shd w:val="clear" w:color="auto" w:fill="auto"/>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shd w:val="clear" w:color="auto" w:fill="auto"/>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shd w:val="clear" w:color="auto" w:fill="auto"/>
            <w:tcMar>
              <w:left w:w="45" w:type="dxa"/>
              <w:right w:w="45" w:type="dxa"/>
            </w:tcMar>
            <w:vAlign w:val="center"/>
          </w:tcPr>
          <w:p>
            <w:pPr>
              <w:spacing w:line="300" w:lineRule="exact"/>
              <w:jc w:val="left"/>
              <w:rPr>
                <w:bCs/>
                <w:szCs w:val="21"/>
              </w:rPr>
            </w:pPr>
            <w:r>
              <w:rPr>
                <w:rFonts w:hint="eastAsia"/>
                <w:szCs w:val="21"/>
              </w:rPr>
              <w:t>具有</w:t>
            </w:r>
            <w:r>
              <w:rPr>
                <w:szCs w:val="21"/>
              </w:rPr>
              <w:t>危险隐患的实验室及设备在拆除前必须做好安全论证</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实验室内烟感</w:t>
            </w:r>
            <w:r>
              <w:rPr>
                <w:rFonts w:ascii="宋体" w:hAnsi="宋体"/>
                <w:kern w:val="0"/>
                <w:szCs w:val="21"/>
              </w:rPr>
              <w:t>报警器、</w:t>
            </w:r>
            <w:r>
              <w:rPr>
                <w:rFonts w:hint="eastAsia" w:ascii="宋体" w:hAnsi="宋体"/>
                <w:kern w:val="0"/>
                <w:szCs w:val="21"/>
              </w:rPr>
              <w:t>灭火器、灭火毯、消防沙桶、消防喷淋等，应正常有效、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r>
              <w:rPr>
                <w:rFonts w:ascii="宋体" w:hAnsi="宋体"/>
                <w:bCs/>
                <w:kern w:val="0"/>
                <w:szCs w:val="21"/>
              </w:rPr>
              <w:t>公共</w:t>
            </w:r>
            <w:r>
              <w:rPr>
                <w:rFonts w:hint="eastAsia" w:ascii="宋体" w:hAnsi="宋体"/>
                <w:bCs/>
                <w:kern w:val="0"/>
                <w:szCs w:val="21"/>
              </w:rPr>
              <w:t>区域</w:t>
            </w:r>
            <w:r>
              <w:rPr>
                <w:rFonts w:ascii="宋体" w:hAnsi="宋体"/>
                <w:bCs/>
                <w:kern w:val="0"/>
                <w:szCs w:val="21"/>
              </w:rPr>
              <w:t>灭火器数量</w:t>
            </w:r>
            <w:r>
              <w:rPr>
                <w:rFonts w:hint="eastAsia" w:ascii="宋体" w:hAnsi="宋体"/>
                <w:bCs/>
                <w:kern w:val="0"/>
                <w:szCs w:val="21"/>
              </w:rPr>
              <w:t>（间距）</w:t>
            </w:r>
            <w:r>
              <w:rPr>
                <w:rFonts w:ascii="宋体" w:hAnsi="宋体"/>
                <w:bCs/>
                <w:kern w:val="0"/>
                <w:szCs w:val="21"/>
              </w:rPr>
              <w:t>与</w:t>
            </w:r>
            <w:r>
              <w:rPr>
                <w:rFonts w:hint="eastAsia" w:ascii="宋体" w:hAnsi="宋体"/>
                <w:bCs/>
                <w:kern w:val="0"/>
                <w:szCs w:val="21"/>
              </w:rPr>
              <w:t>实验室</w:t>
            </w:r>
            <w:r>
              <w:rPr>
                <w:rFonts w:ascii="宋体" w:hAnsi="宋体"/>
                <w:bCs/>
                <w:kern w:val="0"/>
                <w:szCs w:val="21"/>
              </w:rPr>
              <w:t>安全等级</w:t>
            </w:r>
            <w:r>
              <w:rPr>
                <w:rFonts w:hint="eastAsia" w:ascii="宋体" w:hAnsi="宋体"/>
                <w:bCs/>
                <w:kern w:val="0"/>
                <w:szCs w:val="21"/>
              </w:rPr>
              <w:t>相</w:t>
            </w:r>
            <w:r>
              <w:rPr>
                <w:rFonts w:ascii="宋体" w:hAnsi="宋体"/>
                <w:bCs/>
                <w:kern w:val="0"/>
                <w:szCs w:val="21"/>
              </w:rPr>
              <w:t>适应</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在显著位置张贴有紧急逃生疏散路线图</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6.2.1</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6.2.2</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-10cm），</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6.2.3</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6.3.1</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 xml:space="preserve">配备符合要求的通风系统 </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m/s，定期进行维护、检修；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6.3.2</w:t>
            </w:r>
          </w:p>
        </w:tc>
        <w:tc>
          <w:tcPr>
            <w:tcW w:w="3820" w:type="dxa"/>
            <w:shd w:val="clear" w:color="auto" w:fill="auto"/>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15cm，保持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应距离调节门内侧15cm左右，以免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6.4</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color w:val="000000"/>
                <w:kern w:val="0"/>
                <w:szCs w:val="21"/>
              </w:rPr>
            </w:pPr>
            <w:r>
              <w:rPr>
                <w:rFonts w:hint="eastAsia" w:ascii="宋体" w:hAnsi="宋体"/>
                <w:b/>
                <w:color w:val="000000"/>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6.4.1</w:t>
            </w:r>
          </w:p>
        </w:tc>
        <w:tc>
          <w:tcPr>
            <w:tcW w:w="3820" w:type="dxa"/>
            <w:shd w:val="clear" w:color="auto" w:fill="auto"/>
            <w:tcMar>
              <w:left w:w="45" w:type="dxa"/>
              <w:right w:w="45" w:type="dxa"/>
            </w:tcMar>
            <w:vAlign w:val="center"/>
          </w:tcPr>
          <w:p>
            <w:pPr>
              <w:widowControl/>
              <w:spacing w:line="300" w:lineRule="exact"/>
              <w:jc w:val="left"/>
              <w:rPr>
                <w:rFonts w:ascii="宋体" w:hAnsi="宋体"/>
                <w:color w:val="000000"/>
                <w:kern w:val="0"/>
                <w:szCs w:val="21"/>
              </w:rPr>
            </w:pPr>
            <w:r>
              <w:rPr>
                <w:rFonts w:hint="eastAsia" w:ascii="宋体" w:hAnsi="宋体"/>
                <w:color w:val="000000"/>
                <w:szCs w:val="21"/>
              </w:rPr>
              <w:t>重点</w:t>
            </w:r>
            <w:r>
              <w:rPr>
                <w:rFonts w:ascii="宋体" w:hAnsi="宋体"/>
                <w:color w:val="000000"/>
                <w:szCs w:val="21"/>
              </w:rPr>
              <w:t>场所</w:t>
            </w:r>
            <w:r>
              <w:rPr>
                <w:rFonts w:hint="eastAsia" w:ascii="宋体" w:hAnsi="宋体"/>
                <w:color w:val="000000"/>
                <w:szCs w:val="21"/>
              </w:rPr>
              <w:t>需安装门禁和监控设施，并有专人管理</w:t>
            </w:r>
          </w:p>
        </w:tc>
        <w:tc>
          <w:tcPr>
            <w:tcW w:w="7374" w:type="dxa"/>
            <w:shd w:val="clear" w:color="auto" w:fill="auto"/>
            <w:tcMar>
              <w:left w:w="45" w:type="dxa"/>
              <w:right w:w="45" w:type="dxa"/>
            </w:tcMar>
            <w:vAlign w:val="center"/>
          </w:tcPr>
          <w:p>
            <w:pPr>
              <w:widowControl/>
              <w:spacing w:line="300" w:lineRule="exact"/>
              <w:jc w:val="left"/>
              <w:rPr>
                <w:rFonts w:ascii="宋体" w:hAnsi="宋体"/>
                <w:bCs/>
                <w:color w:val="000000"/>
                <w:kern w:val="0"/>
                <w:szCs w:val="21"/>
              </w:rPr>
            </w:pPr>
            <w:r>
              <w:rPr>
                <w:rFonts w:hint="eastAsia" w:ascii="宋体" w:hAnsi="宋体"/>
                <w:color w:val="000000"/>
                <w:szCs w:val="21"/>
              </w:rPr>
              <w:t>重点关注剧毒品、病原微生物、特种设备和放射源存放点等危险源的管理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6.4.2</w:t>
            </w:r>
          </w:p>
        </w:tc>
        <w:tc>
          <w:tcPr>
            <w:tcW w:w="3820" w:type="dxa"/>
            <w:shd w:val="clear" w:color="auto" w:fill="auto"/>
            <w:tcMar>
              <w:left w:w="45" w:type="dxa"/>
              <w:right w:w="45" w:type="dxa"/>
            </w:tcMar>
            <w:vAlign w:val="center"/>
          </w:tcPr>
          <w:p>
            <w:pPr>
              <w:widowControl/>
              <w:spacing w:line="300" w:lineRule="exact"/>
              <w:jc w:val="left"/>
              <w:rPr>
                <w:rFonts w:ascii="宋体" w:hAnsi="宋体"/>
                <w:color w:val="000000"/>
                <w:kern w:val="0"/>
                <w:szCs w:val="21"/>
              </w:rPr>
            </w:pPr>
            <w:r>
              <w:rPr>
                <w:rFonts w:hint="eastAsia" w:ascii="宋体" w:hAnsi="宋体"/>
                <w:color w:val="000000"/>
                <w:szCs w:val="21"/>
              </w:rPr>
              <w:t>门禁和监控系统运转正常，与</w:t>
            </w:r>
            <w:r>
              <w:rPr>
                <w:rFonts w:ascii="宋体" w:hAnsi="宋体"/>
                <w:color w:val="000000"/>
                <w:szCs w:val="21"/>
              </w:rPr>
              <w:t>实验室准入制度</w:t>
            </w:r>
            <w:r>
              <w:rPr>
                <w:rFonts w:hint="eastAsia" w:ascii="宋体" w:hAnsi="宋体"/>
                <w:color w:val="000000"/>
                <w:szCs w:val="21"/>
              </w:rPr>
              <w:t>相</w:t>
            </w:r>
            <w:r>
              <w:rPr>
                <w:rFonts w:ascii="宋体" w:hAnsi="宋体"/>
                <w:color w:val="000000"/>
                <w:szCs w:val="21"/>
              </w:rPr>
              <w:t>匹配</w:t>
            </w:r>
          </w:p>
        </w:tc>
        <w:tc>
          <w:tcPr>
            <w:tcW w:w="7374" w:type="dxa"/>
            <w:shd w:val="clear" w:color="auto" w:fill="auto"/>
            <w:tcMar>
              <w:left w:w="45" w:type="dxa"/>
              <w:right w:w="45" w:type="dxa"/>
            </w:tcMar>
            <w:vAlign w:val="center"/>
          </w:tcPr>
          <w:p>
            <w:pPr>
              <w:widowControl/>
              <w:spacing w:line="300" w:lineRule="exact"/>
              <w:jc w:val="left"/>
              <w:rPr>
                <w:rFonts w:ascii="宋体" w:hAnsi="宋体"/>
                <w:bCs/>
                <w:color w:val="000000"/>
                <w:kern w:val="0"/>
                <w:szCs w:val="21"/>
              </w:rPr>
            </w:pPr>
            <w:r>
              <w:rPr>
                <w:rFonts w:hint="eastAsia" w:ascii="宋体" w:hAnsi="宋体"/>
                <w:color w:val="000000"/>
                <w:szCs w:val="21"/>
              </w:rPr>
              <w:t>监控不留死角，图像清晰，人员出入记录可查，建议视频记录存储时间大于1个月；</w:t>
            </w:r>
            <w:r>
              <w:rPr>
                <w:rFonts w:ascii="宋体" w:hAnsi="宋体"/>
                <w:color w:val="000000"/>
                <w:szCs w:val="21"/>
              </w:rPr>
              <w:t>停电时</w:t>
            </w:r>
            <w:r>
              <w:rPr>
                <w:rFonts w:hint="eastAsia" w:ascii="宋体" w:hAnsi="宋体"/>
                <w:color w:val="000000"/>
                <w:szCs w:val="21"/>
              </w:rPr>
              <w:t>，电子</w:t>
            </w:r>
            <w:r>
              <w:rPr>
                <w:rFonts w:ascii="宋体" w:hAnsi="宋体"/>
                <w:color w:val="000000"/>
                <w:szCs w:val="21"/>
              </w:rPr>
              <w:t>门禁系统</w:t>
            </w:r>
            <w:r>
              <w:rPr>
                <w:rFonts w:hint="eastAsia" w:ascii="宋体" w:hAnsi="宋体"/>
                <w:color w:val="000000"/>
                <w:szCs w:val="21"/>
              </w:rPr>
              <w:t>应</w:t>
            </w:r>
            <w:r>
              <w:rPr>
                <w:rFonts w:ascii="宋体" w:hAnsi="宋体"/>
                <w:color w:val="000000"/>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6.5.1</w:t>
            </w:r>
          </w:p>
        </w:tc>
        <w:tc>
          <w:tcPr>
            <w:tcW w:w="3820" w:type="dxa"/>
            <w:shd w:val="clear" w:color="auto" w:fill="auto"/>
            <w:tcMar>
              <w:left w:w="45" w:type="dxa"/>
              <w:right w:w="45" w:type="dxa"/>
            </w:tcMar>
            <w:vAlign w:val="center"/>
          </w:tcPr>
          <w:p>
            <w:pPr>
              <w:spacing w:line="300" w:lineRule="exact"/>
              <w:rPr>
                <w:rFonts w:ascii="宋体" w:hAnsi="宋体"/>
                <w:szCs w:val="21"/>
              </w:rPr>
            </w:pPr>
            <w:r>
              <w:rPr>
                <w:rFonts w:hint="eastAsia" w:ascii="宋体" w:hAnsi="宋体"/>
                <w:szCs w:val="21"/>
              </w:rPr>
              <w:t>防爆实验室需符合防爆设计要求</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6.5.2</w:t>
            </w:r>
          </w:p>
        </w:tc>
        <w:tc>
          <w:tcPr>
            <w:tcW w:w="3820" w:type="dxa"/>
            <w:shd w:val="clear" w:color="auto" w:fill="auto"/>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shd w:val="clear" w:color="auto" w:fill="auto"/>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7.1</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用电</w:t>
            </w:r>
            <w:r>
              <w:rPr>
                <w:rFonts w:hint="eastAsia"/>
                <w:b/>
                <w:color w:val="000000"/>
                <w:kern w:val="0"/>
                <w:szCs w:val="21"/>
              </w:rPr>
              <w:t>用水</w:t>
            </w:r>
            <w:r>
              <w:rPr>
                <w:b/>
                <w:color w:val="000000"/>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7.1.1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实验室用电安全应符合国家标准（导则）和行业标准</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实验室电</w:t>
            </w:r>
            <w:r>
              <w:rPr>
                <w:color w:val="000000"/>
                <w:kern w:val="0"/>
                <w:szCs w:val="21"/>
              </w:rPr>
              <w:t>容量、插头插座</w:t>
            </w:r>
            <w:r>
              <w:rPr>
                <w:rFonts w:hint="eastAsia"/>
                <w:color w:val="000000"/>
                <w:kern w:val="0"/>
                <w:szCs w:val="21"/>
              </w:rPr>
              <w:t>与</w:t>
            </w:r>
            <w:r>
              <w:rPr>
                <w:color w:val="000000"/>
                <w:kern w:val="0"/>
                <w:szCs w:val="21"/>
              </w:rPr>
              <w:t>用电设备功率需匹配，不得私自改装</w:t>
            </w:r>
            <w:r>
              <w:rPr>
                <w:rFonts w:hint="eastAsia"/>
                <w:color w:val="000000"/>
                <w:kern w:val="0"/>
                <w:szCs w:val="21"/>
              </w:rPr>
              <w:t>；</w:t>
            </w:r>
            <w:r>
              <w:rPr>
                <w:color w:val="000000"/>
                <w:kern w:val="0"/>
                <w:szCs w:val="21"/>
              </w:rPr>
              <w:t>电源插座须固定</w:t>
            </w:r>
            <w:r>
              <w:rPr>
                <w:rFonts w:hint="eastAsia"/>
                <w:color w:val="000000"/>
                <w:kern w:val="0"/>
                <w:szCs w:val="21"/>
              </w:rPr>
              <w:t>；</w:t>
            </w:r>
            <w:r>
              <w:rPr>
                <w:color w:val="000000"/>
                <w:kern w:val="0"/>
                <w:szCs w:val="21"/>
              </w:rPr>
              <w:t>电气设备</w:t>
            </w:r>
            <w:r>
              <w:rPr>
                <w:rFonts w:hint="eastAsia"/>
                <w:color w:val="000000"/>
                <w:kern w:val="0"/>
                <w:szCs w:val="21"/>
              </w:rPr>
              <w:t>应配备</w:t>
            </w:r>
            <w:r>
              <w:rPr>
                <w:color w:val="000000"/>
                <w:kern w:val="0"/>
                <w:szCs w:val="21"/>
              </w:rPr>
              <w:t>空气开关和漏电保护器</w:t>
            </w:r>
            <w:r>
              <w:rPr>
                <w:rFonts w:hint="eastAsia"/>
                <w:color w:val="000000"/>
                <w:kern w:val="0"/>
                <w:szCs w:val="21"/>
              </w:rPr>
              <w:t>；</w:t>
            </w:r>
            <w:r>
              <w:rPr>
                <w:color w:val="000000"/>
                <w:kern w:val="0"/>
                <w:szCs w:val="21"/>
              </w:rPr>
              <w:t>不</w:t>
            </w:r>
            <w:r>
              <w:rPr>
                <w:rFonts w:hint="eastAsia"/>
                <w:color w:val="000000"/>
                <w:kern w:val="0"/>
                <w:szCs w:val="21"/>
              </w:rPr>
              <w:t>私自</w:t>
            </w:r>
            <w:r>
              <w:rPr>
                <w:color w:val="000000"/>
                <w:kern w:val="0"/>
                <w:szCs w:val="21"/>
              </w:rPr>
              <w:t>乱拉乱接电线</w:t>
            </w:r>
            <w:r>
              <w:rPr>
                <w:rFonts w:hint="eastAsia"/>
                <w:color w:val="000000"/>
                <w:kern w:val="0"/>
                <w:szCs w:val="21"/>
              </w:rPr>
              <w:t>电缆</w:t>
            </w:r>
            <w:r>
              <w:rPr>
                <w:color w:val="000000"/>
                <w:kern w:val="0"/>
                <w:szCs w:val="21"/>
              </w:rPr>
              <w:t>，不使用老化的线</w:t>
            </w:r>
            <w:r>
              <w:rPr>
                <w:rFonts w:hint="eastAsia"/>
                <w:color w:val="000000"/>
                <w:kern w:val="0"/>
                <w:szCs w:val="21"/>
              </w:rPr>
              <w:t>缆</w:t>
            </w:r>
            <w:r>
              <w:rPr>
                <w:color w:val="000000"/>
                <w:kern w:val="0"/>
                <w:szCs w:val="21"/>
              </w:rPr>
              <w:t>、花线和木质配电板</w:t>
            </w:r>
            <w:r>
              <w:rPr>
                <w:rFonts w:hint="eastAsia"/>
                <w:color w:val="000000"/>
                <w:kern w:val="0"/>
                <w:szCs w:val="21"/>
              </w:rPr>
              <w:t>；禁止多个接线板串接供电，接线板不宜直接置于地面；</w:t>
            </w:r>
            <w:r>
              <w:rPr>
                <w:color w:val="000000"/>
                <w:kern w:val="0"/>
                <w:szCs w:val="21"/>
              </w:rPr>
              <w:t>电线接头绝缘可靠，无裸露连接线，地</w:t>
            </w:r>
            <w:r>
              <w:rPr>
                <w:rFonts w:hint="eastAsia"/>
                <w:color w:val="000000"/>
                <w:kern w:val="0"/>
                <w:szCs w:val="21"/>
              </w:rPr>
              <w:t>面</w:t>
            </w:r>
            <w:r>
              <w:rPr>
                <w:color w:val="000000"/>
                <w:kern w:val="0"/>
                <w:szCs w:val="21"/>
              </w:rPr>
              <w:t>上的线缆应有盖板或护套</w:t>
            </w:r>
            <w:r>
              <w:rPr>
                <w:rFonts w:hint="eastAsia"/>
                <w:color w:val="000000"/>
                <w:kern w:val="0"/>
                <w:szCs w:val="21"/>
              </w:rPr>
              <w:t>；</w:t>
            </w:r>
            <w:r>
              <w:rPr>
                <w:color w:val="000000"/>
                <w:kern w:val="0"/>
                <w:szCs w:val="21"/>
              </w:rPr>
              <w:t>大功率仪器（包括空调等）</w:t>
            </w:r>
            <w:r>
              <w:rPr>
                <w:rFonts w:hint="eastAsia"/>
                <w:color w:val="000000"/>
                <w:kern w:val="0"/>
                <w:szCs w:val="21"/>
              </w:rPr>
              <w:t>使用</w:t>
            </w:r>
            <w:r>
              <w:rPr>
                <w:color w:val="000000"/>
                <w:kern w:val="0"/>
                <w:szCs w:val="21"/>
              </w:rPr>
              <w:t>专用插座</w:t>
            </w:r>
            <w:r>
              <w:rPr>
                <w:rFonts w:hint="eastAsia"/>
                <w:color w:val="000000"/>
                <w:kern w:val="0"/>
                <w:szCs w:val="21"/>
              </w:rPr>
              <w:t>（</w:t>
            </w:r>
            <w:r>
              <w:rPr>
                <w:color w:val="000000"/>
                <w:kern w:val="0"/>
                <w:szCs w:val="21"/>
              </w:rPr>
              <w:t>不</w:t>
            </w:r>
            <w:r>
              <w:rPr>
                <w:rFonts w:hint="eastAsia"/>
                <w:color w:val="000000"/>
                <w:kern w:val="0"/>
                <w:szCs w:val="21"/>
              </w:rPr>
              <w:t>可</w:t>
            </w:r>
            <w:r>
              <w:rPr>
                <w:color w:val="000000"/>
                <w:kern w:val="0"/>
                <w:szCs w:val="21"/>
              </w:rPr>
              <w:t>使用接线板</w:t>
            </w:r>
            <w:r>
              <w:rPr>
                <w:rFonts w:hint="eastAsia"/>
                <w:color w:val="000000"/>
                <w:kern w:val="0"/>
                <w:szCs w:val="21"/>
              </w:rPr>
              <w:t>）</w:t>
            </w:r>
            <w:r>
              <w:rPr>
                <w:color w:val="000000"/>
                <w:kern w:val="0"/>
                <w:szCs w:val="21"/>
              </w:rPr>
              <w:t>，用电负荷满足要求；长期不用时，应切断电源</w:t>
            </w:r>
            <w:r>
              <w:rPr>
                <w:rFonts w:hint="eastAsia"/>
                <w:color w:val="000000"/>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7.1.2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易燃易爆气体等</w:t>
            </w:r>
            <w:r>
              <w:rPr>
                <w:color w:val="000000"/>
                <w:kern w:val="0"/>
                <w:szCs w:val="21"/>
              </w:rPr>
              <w:t>特殊</w:t>
            </w:r>
            <w:r>
              <w:rPr>
                <w:rFonts w:hint="eastAsia"/>
                <w:color w:val="000000"/>
                <w:kern w:val="0"/>
                <w:szCs w:val="21"/>
              </w:rPr>
              <w:t>实验室</w:t>
            </w:r>
            <w:r>
              <w:rPr>
                <w:color w:val="000000"/>
                <w:kern w:val="0"/>
                <w:szCs w:val="21"/>
              </w:rPr>
              <w:t>的</w:t>
            </w:r>
            <w:r>
              <w:rPr>
                <w:rFonts w:hint="eastAsia"/>
                <w:color w:val="000000"/>
                <w:kern w:val="0"/>
                <w:szCs w:val="21"/>
              </w:rPr>
              <w:t>电气线路和装备应按相关规定使用防爆电气线路和装置</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满足</w:t>
            </w:r>
            <w:r>
              <w:rPr>
                <w:color w:val="000000"/>
                <w:kern w:val="0"/>
                <w:szCs w:val="21"/>
              </w:rPr>
              <w:t>爆炸性环境用电气设备</w:t>
            </w:r>
            <w:r>
              <w:rPr>
                <w:rFonts w:hint="eastAsia"/>
                <w:color w:val="000000"/>
                <w:kern w:val="0"/>
                <w:szCs w:val="21"/>
              </w:rPr>
              <w:t>的相关标准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7.</w:t>
            </w:r>
            <w:r>
              <w:rPr>
                <w:rFonts w:hint="eastAsia"/>
                <w:color w:val="000000"/>
                <w:kern w:val="0"/>
                <w:szCs w:val="21"/>
              </w:rPr>
              <w:t>1</w:t>
            </w:r>
            <w:r>
              <w:rPr>
                <w:color w:val="000000"/>
                <w:kern w:val="0"/>
                <w:szCs w:val="21"/>
              </w:rPr>
              <w:t>.</w:t>
            </w:r>
            <w:r>
              <w:rPr>
                <w:rFonts w:hint="eastAsia"/>
                <w:color w:val="000000"/>
                <w:kern w:val="0"/>
                <w:szCs w:val="21"/>
              </w:rPr>
              <w:t>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进排水系统布置合理，运行正常</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水槽、</w:t>
            </w:r>
            <w:r>
              <w:rPr>
                <w:color w:val="000000"/>
                <w:kern w:val="0"/>
                <w:szCs w:val="21"/>
              </w:rPr>
              <w:t>地漏及下水道畅通，水龙头、上下水管无破损</w:t>
            </w:r>
            <w:r>
              <w:rPr>
                <w:rFonts w:hint="eastAsia"/>
                <w:color w:val="000000"/>
                <w:kern w:val="0"/>
                <w:szCs w:val="21"/>
              </w:rPr>
              <w:t>；</w:t>
            </w:r>
            <w:r>
              <w:rPr>
                <w:color w:val="000000"/>
                <w:kern w:val="0"/>
                <w:szCs w:val="21"/>
              </w:rPr>
              <w:t>各类</w:t>
            </w:r>
            <w:r>
              <w:rPr>
                <w:rFonts w:hint="eastAsia"/>
                <w:color w:val="000000"/>
                <w:kern w:val="0"/>
                <w:szCs w:val="21"/>
              </w:rPr>
              <w:t>连</w:t>
            </w:r>
            <w:r>
              <w:rPr>
                <w:color w:val="000000"/>
                <w:kern w:val="0"/>
                <w:szCs w:val="21"/>
              </w:rPr>
              <w:t>接管无老化破损（特别是冷却冷凝系统的橡胶管接口处）</w:t>
            </w:r>
            <w:r>
              <w:rPr>
                <w:rFonts w:hint="eastAsia"/>
                <w:color w:val="000000"/>
                <w:kern w:val="0"/>
                <w:szCs w:val="21"/>
              </w:rPr>
              <w:t>；实验技术人员清楚</w:t>
            </w:r>
            <w:r>
              <w:rPr>
                <w:color w:val="000000"/>
                <w:kern w:val="0"/>
                <w:szCs w:val="21"/>
              </w:rPr>
              <w:t>所在楼层及实验室</w:t>
            </w:r>
            <w:r>
              <w:rPr>
                <w:rFonts w:hint="eastAsia"/>
                <w:color w:val="000000"/>
                <w:kern w:val="0"/>
                <w:szCs w:val="21"/>
              </w:rPr>
              <w:t>的各级水管</w:t>
            </w:r>
            <w:r>
              <w:rPr>
                <w:color w:val="000000"/>
                <w:kern w:val="0"/>
                <w:szCs w:val="21"/>
              </w:rPr>
              <w:t>总阀</w:t>
            </w:r>
            <w:r>
              <w:rPr>
                <w:rFonts w:hint="eastAsia"/>
                <w:color w:val="000000"/>
                <w:kern w:val="0"/>
                <w:szCs w:val="21"/>
              </w:rPr>
              <w:t>位置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实验人员需配备合适的个人防护用具</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长袖实验服或防护服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；穿着化学、生物类实验服或带实验手套，不得随意出入非实验区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个人防护用具分散存放，并有明显标识</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分散存放在安全场所，紧急情况下便于取用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shd w:val="clear" w:color="auto" w:fill="auto"/>
            <w:tcMar>
              <w:left w:w="45" w:type="dxa"/>
              <w:right w:w="45" w:type="dxa"/>
            </w:tcMar>
            <w:vAlign w:val="center"/>
          </w:tcPr>
          <w:p>
            <w:pPr>
              <w:spacing w:line="300" w:lineRule="exact"/>
              <w:jc w:val="left"/>
              <w:rPr>
                <w:kern w:val="0"/>
                <w:szCs w:val="21"/>
              </w:rPr>
            </w:pPr>
            <w:r>
              <w:rPr>
                <w:kern w:val="0"/>
                <w:szCs w:val="21"/>
              </w:rPr>
              <w:t>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7374"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shd w:val="clear" w:color="auto" w:fill="auto"/>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记录；购买危险化学品应有规范的验收记录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shd w:val="clear" w:color="auto" w:fill="auto"/>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3820" w:type="dxa"/>
            <w:shd w:val="clear" w:color="auto" w:fill="auto"/>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w:t>
            </w:r>
            <w:r>
              <w:rPr>
                <w:rFonts w:hint="eastAsia"/>
                <w:kern w:val="0"/>
                <w:szCs w:val="21"/>
              </w:rPr>
              <w:t>使用</w:t>
            </w:r>
            <w:r>
              <w:rPr>
                <w:kern w:val="0"/>
                <w:szCs w:val="21"/>
              </w:rPr>
              <w:t>台帐</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shd w:val="clear" w:color="auto" w:fill="auto"/>
            <w:tcMar>
              <w:left w:w="45" w:type="dxa"/>
              <w:right w:w="45" w:type="dxa"/>
            </w:tcMar>
            <w:vAlign w:val="center"/>
          </w:tcPr>
          <w:p>
            <w:pPr>
              <w:widowControl/>
              <w:spacing w:line="300" w:lineRule="exact"/>
              <w:rPr>
                <w:szCs w:val="21"/>
              </w:rPr>
            </w:pPr>
            <w:r>
              <w:rPr>
                <w:rFonts w:hint="eastAsia"/>
                <w:szCs w:val="21"/>
              </w:rPr>
              <w:t>试剂药品有专用存放空间并科学有序存放</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不应超过100L或100kg，其中易燃易爆性化学品的存放总量不应超过50L 或50kg，且单一包装容器不应大于20L或20kg；</w:t>
            </w:r>
            <w:r>
              <w:rPr>
                <w:kern w:val="0"/>
                <w:szCs w:val="21"/>
              </w:rPr>
              <w:t>单个实验装置存在10L以上甲类物质储罐，或20L以上乙类物质储罐，或50L以上丙类物质储罐，需加装泄露报警器及通风联动装置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化学品标签应有显著完整清晰</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指导书、应急预案</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做好有毒和异味废气的收集和防护</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管控类化学品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4</w:t>
            </w:r>
            <w:r>
              <w:rPr>
                <w:color w:val="000000"/>
                <w:kern w:val="0"/>
                <w:szCs w:val="21"/>
              </w:rPr>
              <w:t>.</w:t>
            </w:r>
            <w:r>
              <w:rPr>
                <w:rFonts w:hint="eastAsia"/>
                <w:color w:val="000000"/>
                <w:kern w:val="0"/>
                <w:szCs w:val="21"/>
              </w:rPr>
              <w:t>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爆炸品单独隔离</w:t>
            </w:r>
            <w:r>
              <w:rPr>
                <w:rFonts w:hint="eastAsia"/>
                <w:color w:val="000000"/>
                <w:kern w:val="0"/>
                <w:szCs w:val="21"/>
              </w:rPr>
              <w:t>，限</w:t>
            </w:r>
            <w:r>
              <w:rPr>
                <w:color w:val="000000"/>
                <w:kern w:val="0"/>
                <w:szCs w:val="21"/>
              </w:rPr>
              <w:t>量存储</w:t>
            </w:r>
            <w:r>
              <w:rPr>
                <w:rFonts w:hint="eastAsia"/>
                <w:color w:val="000000"/>
                <w:kern w:val="0"/>
                <w:szCs w:val="21"/>
              </w:rPr>
              <w:t>，</w:t>
            </w:r>
            <w:r>
              <w:rPr>
                <w:color w:val="000000"/>
                <w:kern w:val="0"/>
                <w:szCs w:val="21"/>
              </w:rPr>
              <w:t>使用、销毁按照公安部门的要求执行</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现场、记录本</w:t>
            </w:r>
            <w:r>
              <w:rPr>
                <w:rFonts w:hint="eastAsia"/>
                <w:bCs/>
                <w:color w:val="000000"/>
                <w:kern w:val="0"/>
                <w:szCs w:val="21"/>
              </w:rPr>
              <w:t>；</w:t>
            </w:r>
            <w:r>
              <w:rPr>
                <w:bCs/>
                <w:color w:val="000000"/>
                <w:kern w:val="0"/>
                <w:szCs w:val="21"/>
              </w:rPr>
              <w:t xml:space="preserve">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4</w:t>
            </w:r>
            <w:r>
              <w:rPr>
                <w:color w:val="000000"/>
                <w:kern w:val="0"/>
                <w:szCs w:val="21"/>
              </w:rPr>
              <w:t>.</w:t>
            </w:r>
            <w:r>
              <w:rPr>
                <w:rFonts w:hint="eastAsia"/>
                <w:color w:val="000000"/>
                <w:kern w:val="0"/>
                <w:szCs w:val="21"/>
              </w:rPr>
              <w:t>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麻醉品和精神类药品储存于专门的保险柜中，有规范的领取、使用、处置台账</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现场、记录本</w:t>
            </w:r>
            <w:r>
              <w:rPr>
                <w:rFonts w:hint="eastAsia"/>
                <w:bCs/>
                <w:color w:val="000000"/>
                <w:kern w:val="0"/>
                <w:szCs w:val="21"/>
              </w:rPr>
              <w:t>；</w:t>
            </w:r>
            <w:r>
              <w:rPr>
                <w:bCs/>
                <w:color w:val="000000"/>
                <w:kern w:val="0"/>
                <w:szCs w:val="21"/>
              </w:rPr>
              <w:t xml:space="preserve">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需加装氧气含量报警</w:t>
            </w:r>
            <w:r>
              <w:rPr>
                <w:rFonts w:hint="eastAsia"/>
                <w:szCs w:val="21"/>
              </w:rPr>
              <w:t>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钢瓶帽；钢瓶中的气体是明确的，无过期钢瓶；确认“满、使用中、用完”三种状态；及时关闭气瓶总阀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化学废弃物</w:t>
            </w:r>
            <w:r>
              <w:rPr>
                <w:rFonts w:hint="eastAsia"/>
                <w:color w:val="000000"/>
                <w:kern w:val="0"/>
                <w:szCs w:val="21"/>
              </w:rPr>
              <w:t>由具备</w:t>
            </w:r>
            <w:r>
              <w:rPr>
                <w:color w:val="000000"/>
                <w:kern w:val="0"/>
                <w:szCs w:val="21"/>
              </w:rPr>
              <w:t>资质的单位（企业）签约处置</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化学废弃物</w:t>
            </w:r>
            <w:r>
              <w:rPr>
                <w:color w:val="000000"/>
                <w:kern w:val="0"/>
                <w:szCs w:val="21"/>
              </w:rPr>
              <w:t>包装严密，及时送学校中转站或</w:t>
            </w:r>
            <w:r>
              <w:rPr>
                <w:rFonts w:hint="eastAsia"/>
                <w:color w:val="000000"/>
                <w:kern w:val="0"/>
                <w:szCs w:val="21"/>
              </w:rPr>
              <w:t>收集</w:t>
            </w:r>
            <w:r>
              <w:rPr>
                <w:color w:val="000000"/>
                <w:kern w:val="0"/>
                <w:szCs w:val="21"/>
              </w:rPr>
              <w:t>点</w:t>
            </w:r>
            <w:r>
              <w:rPr>
                <w:rFonts w:hint="eastAsia"/>
                <w:color w:val="000000"/>
                <w:kern w:val="0"/>
                <w:szCs w:val="21"/>
              </w:rPr>
              <w:t>；</w:t>
            </w:r>
            <w:r>
              <w:rPr>
                <w:color w:val="000000"/>
                <w:kern w:val="0"/>
                <w:szCs w:val="21"/>
              </w:rPr>
              <w:t>学校定时清运化学实验废弃物</w:t>
            </w:r>
            <w:r>
              <w:rPr>
                <w:rFonts w:hint="eastAsia"/>
                <w:color w:val="000000"/>
                <w:kern w:val="0"/>
                <w:szCs w:val="21"/>
              </w:rPr>
              <w:t>，无</w:t>
            </w:r>
            <w:r>
              <w:rPr>
                <w:color w:val="000000"/>
                <w:kern w:val="0"/>
                <w:szCs w:val="21"/>
              </w:rPr>
              <w:t>室外堆放实验废弃物现象</w:t>
            </w:r>
            <w:r>
              <w:rPr>
                <w:rFonts w:hint="eastAsia"/>
                <w:color w:val="000000"/>
                <w:kern w:val="0"/>
                <w:szCs w:val="21"/>
              </w:rPr>
              <w:t>；化学实验</w:t>
            </w:r>
            <w:r>
              <w:rPr>
                <w:color w:val="000000"/>
                <w:kern w:val="0"/>
                <w:szCs w:val="21"/>
              </w:rPr>
              <w:t>固</w:t>
            </w:r>
            <w:r>
              <w:rPr>
                <w:rFonts w:hint="eastAsia"/>
                <w:color w:val="000000"/>
                <w:kern w:val="0"/>
                <w:szCs w:val="21"/>
              </w:rPr>
              <w:t>体</w:t>
            </w:r>
            <w:r>
              <w:rPr>
                <w:color w:val="000000"/>
                <w:kern w:val="0"/>
                <w:szCs w:val="21"/>
              </w:rPr>
              <w:t>废物和生活垃圾不混放，不向下水道倾倒废旧化学试剂</w:t>
            </w:r>
            <w:r>
              <w:rPr>
                <w:rFonts w:hint="eastAsia"/>
                <w:color w:val="000000"/>
                <w:kern w:val="0"/>
                <w:szCs w:val="21"/>
              </w:rPr>
              <w:t>和</w:t>
            </w:r>
            <w:r>
              <w:rPr>
                <w:color w:val="000000"/>
                <w:kern w:val="0"/>
                <w:szCs w:val="21"/>
              </w:rPr>
              <w:t>废液</w:t>
            </w:r>
            <w:r>
              <w:rPr>
                <w:rFonts w:hint="eastAsia"/>
                <w:color w:val="000000"/>
                <w:kern w:val="0"/>
                <w:szCs w:val="21"/>
              </w:rPr>
              <w:t>。</w:t>
            </w:r>
            <w:r>
              <w:rPr>
                <w:rFonts w:hint="eastAsia"/>
                <w:bCs/>
                <w:color w:val="000000"/>
                <w:kern w:val="0"/>
                <w:szCs w:val="21"/>
              </w:rPr>
              <w:t>查看</w:t>
            </w:r>
            <w:r>
              <w:rPr>
                <w:bCs/>
                <w:color w:val="000000"/>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统一的化学实验废弃物标签</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标签信息包括：</w:t>
            </w:r>
            <w:r>
              <w:rPr>
                <w:color w:val="000000"/>
                <w:kern w:val="0"/>
                <w:szCs w:val="21"/>
              </w:rPr>
              <w:t>废物类别、危险</w:t>
            </w:r>
            <w:r>
              <w:rPr>
                <w:rFonts w:hint="eastAsia"/>
                <w:color w:val="000000"/>
                <w:kern w:val="0"/>
                <w:szCs w:val="21"/>
              </w:rPr>
              <w:t>特性</w:t>
            </w:r>
            <w:r>
              <w:rPr>
                <w:color w:val="000000"/>
                <w:kern w:val="0"/>
                <w:szCs w:val="21"/>
              </w:rPr>
              <w:t>、主要成分、产生</w:t>
            </w:r>
            <w:r>
              <w:rPr>
                <w:rFonts w:hint="eastAsia"/>
                <w:color w:val="000000"/>
                <w:kern w:val="0"/>
                <w:szCs w:val="21"/>
              </w:rPr>
              <w:t>部门</w:t>
            </w:r>
            <w:r>
              <w:rPr>
                <w:color w:val="000000"/>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配备化学实验废弃物分类容器</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color w:val="000000"/>
                <w:kern w:val="0"/>
                <w:szCs w:val="21"/>
              </w:rPr>
              <w:t>对化学废弃物进行分类</w:t>
            </w:r>
            <w:r>
              <w:rPr>
                <w:rFonts w:hint="eastAsia"/>
                <w:color w:val="000000"/>
                <w:kern w:val="0"/>
                <w:szCs w:val="21"/>
              </w:rPr>
              <w:t>收集</w:t>
            </w:r>
            <w:r>
              <w:rPr>
                <w:color w:val="000000"/>
                <w:kern w:val="0"/>
                <w:szCs w:val="21"/>
              </w:rPr>
              <w:t>与存放（应避免易产生剧烈反应的</w:t>
            </w:r>
            <w:r>
              <w:rPr>
                <w:rFonts w:hint="eastAsia"/>
                <w:color w:val="000000"/>
                <w:kern w:val="0"/>
                <w:szCs w:val="21"/>
              </w:rPr>
              <w:t>废弃物</w:t>
            </w:r>
            <w:r>
              <w:rPr>
                <w:color w:val="000000"/>
                <w:kern w:val="0"/>
                <w:szCs w:val="21"/>
              </w:rPr>
              <w:t>混放）、贴好标签，</w:t>
            </w:r>
            <w:r>
              <w:rPr>
                <w:rFonts w:hint="eastAsia"/>
                <w:color w:val="000000"/>
                <w:kern w:val="0"/>
                <w:szCs w:val="21"/>
              </w:rPr>
              <w:t>盖子</w:t>
            </w:r>
            <w:r>
              <w:rPr>
                <w:color w:val="000000"/>
                <w:kern w:val="0"/>
                <w:szCs w:val="21"/>
              </w:rPr>
              <w:t>不</w:t>
            </w:r>
            <w:r>
              <w:rPr>
                <w:rFonts w:hint="eastAsia"/>
                <w:color w:val="000000"/>
                <w:kern w:val="0"/>
                <w:szCs w:val="21"/>
              </w:rPr>
              <w:t>敞开；</w:t>
            </w:r>
            <w:r>
              <w:rPr>
                <w:color w:val="000000"/>
                <w:kern w:val="0"/>
                <w:szCs w:val="21"/>
              </w:rPr>
              <w:t>实验室内无大量存放</w:t>
            </w:r>
            <w:r>
              <w:rPr>
                <w:rFonts w:hint="eastAsia"/>
                <w:color w:val="000000"/>
                <w:kern w:val="0"/>
                <w:szCs w:val="21"/>
              </w:rPr>
              <w:t>现象；</w:t>
            </w:r>
            <w:r>
              <w:rPr>
                <w:rFonts w:hint="eastAsia"/>
                <w:bCs/>
                <w:color w:val="000000"/>
                <w:kern w:val="0"/>
                <w:szCs w:val="21"/>
              </w:rPr>
              <w:t>实验</w:t>
            </w:r>
            <w:r>
              <w:rPr>
                <w:bCs/>
                <w:color w:val="000000"/>
                <w:kern w:val="0"/>
                <w:szCs w:val="21"/>
              </w:rPr>
              <w:t>废弃物存放点</w:t>
            </w:r>
            <w:r>
              <w:rPr>
                <w:rFonts w:hint="eastAsia"/>
                <w:bCs/>
                <w:color w:val="000000"/>
                <w:kern w:val="0"/>
                <w:szCs w:val="21"/>
              </w:rPr>
              <w:t>位置</w:t>
            </w:r>
            <w:r>
              <w:rPr>
                <w:bCs/>
                <w:color w:val="000000"/>
                <w:kern w:val="0"/>
                <w:szCs w:val="21"/>
              </w:rPr>
              <w:t>合适</w:t>
            </w:r>
            <w:r>
              <w:rPr>
                <w:rFonts w:hint="eastAsia"/>
                <w:bCs/>
                <w:color w:val="000000"/>
                <w:kern w:val="0"/>
                <w:szCs w:val="21"/>
              </w:rPr>
              <w:t>无</w:t>
            </w:r>
            <w:r>
              <w:rPr>
                <w:bCs/>
                <w:color w:val="000000"/>
                <w:kern w:val="0"/>
                <w:szCs w:val="21"/>
              </w:rPr>
              <w:t>干扰</w:t>
            </w:r>
            <w:r>
              <w:rPr>
                <w:rFonts w:hint="eastAsia"/>
                <w:bCs/>
                <w:color w:val="000000"/>
                <w:kern w:val="0"/>
                <w:szCs w:val="21"/>
              </w:rPr>
              <w:t>、标签信息清晰、</w:t>
            </w:r>
            <w:r>
              <w:rPr>
                <w:bCs/>
                <w:color w:val="000000"/>
                <w:kern w:val="0"/>
                <w:szCs w:val="21"/>
              </w:rPr>
              <w:t>大桶</w:t>
            </w:r>
            <w:r>
              <w:rPr>
                <w:rFonts w:hint="eastAsia"/>
                <w:bCs/>
                <w:color w:val="000000"/>
                <w:kern w:val="0"/>
                <w:szCs w:val="21"/>
              </w:rPr>
              <w:t>存放时</w:t>
            </w:r>
            <w:r>
              <w:rPr>
                <w:bCs/>
                <w:color w:val="000000"/>
                <w:kern w:val="0"/>
                <w:szCs w:val="21"/>
              </w:rPr>
              <w:t>不能超过</w:t>
            </w:r>
            <w:r>
              <w:rPr>
                <w:rFonts w:hint="eastAsia"/>
                <w:bCs/>
                <w:color w:val="000000"/>
                <w:kern w:val="0"/>
                <w:szCs w:val="21"/>
              </w:rPr>
              <w:t>容量</w:t>
            </w:r>
            <w:r>
              <w:rPr>
                <w:bCs/>
                <w:color w:val="000000"/>
                <w:kern w:val="0"/>
                <w:szCs w:val="21"/>
              </w:rPr>
              <w:t>的</w:t>
            </w:r>
            <w:r>
              <w:rPr>
                <w:rFonts w:hint="eastAsia"/>
                <w:bCs/>
                <w:color w:val="000000"/>
                <w:kern w:val="0"/>
                <w:szCs w:val="21"/>
              </w:rPr>
              <w:t>2/3；</w:t>
            </w:r>
            <w:r>
              <w:rPr>
                <w:rFonts w:hint="eastAsia"/>
                <w:color w:val="000000"/>
                <w:kern w:val="0"/>
                <w:szCs w:val="21"/>
              </w:rPr>
              <w:t>对于</w:t>
            </w:r>
            <w:r>
              <w:rPr>
                <w:color w:val="000000"/>
                <w:kern w:val="0"/>
                <w:szCs w:val="21"/>
              </w:rPr>
              <w:t>危险性大的废弃物，要独立包装，标签信息明确</w:t>
            </w:r>
            <w:r>
              <w:rPr>
                <w:rFonts w:hint="eastAsia"/>
                <w:color w:val="000000"/>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盛放配置试剂的烧杯、烧瓶不得无盖放置</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致病性病原微生物</w:t>
            </w:r>
            <w:r>
              <w:rPr>
                <w:rFonts w:hint="eastAsia"/>
                <w:kern w:val="0"/>
                <w:szCs w:val="21"/>
              </w:rPr>
              <w:t>的实验</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shd w:val="clear" w:color="auto" w:fill="auto"/>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shd w:val="clear" w:color="auto" w:fill="auto"/>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9.7</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9.7.1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生化废弃物的处置应有专用集中场所</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与</w:t>
            </w:r>
            <w:r>
              <w:rPr>
                <w:color w:val="000000"/>
                <w:kern w:val="0"/>
                <w:szCs w:val="21"/>
              </w:rPr>
              <w:t>有资质的单位签</w:t>
            </w:r>
            <w:r>
              <w:rPr>
                <w:rFonts w:hint="eastAsia"/>
                <w:color w:val="000000"/>
                <w:kern w:val="0"/>
                <w:szCs w:val="21"/>
              </w:rPr>
              <w:t>约</w:t>
            </w:r>
            <w:r>
              <w:rPr>
                <w:color w:val="000000"/>
                <w:kern w:val="0"/>
                <w:szCs w:val="21"/>
              </w:rPr>
              <w:t>处置生化废弃物，有</w:t>
            </w:r>
            <w:r>
              <w:rPr>
                <w:rFonts w:hint="eastAsia"/>
                <w:color w:val="000000"/>
                <w:kern w:val="0"/>
                <w:szCs w:val="21"/>
              </w:rPr>
              <w:t>交接</w:t>
            </w:r>
            <w:r>
              <w:rPr>
                <w:color w:val="000000"/>
                <w:kern w:val="0"/>
                <w:szCs w:val="21"/>
              </w:rPr>
              <w:t>记录</w:t>
            </w:r>
            <w:r>
              <w:rPr>
                <w:rFonts w:hint="eastAsia"/>
                <w:bCs/>
                <w:color w:val="000000"/>
                <w:kern w:val="0"/>
                <w:szCs w:val="21"/>
              </w:rPr>
              <w:t>；</w:t>
            </w:r>
            <w:r>
              <w:rPr>
                <w:color w:val="000000"/>
                <w:kern w:val="0"/>
                <w:szCs w:val="21"/>
              </w:rPr>
              <w:t>学校有生化固废中转站</w:t>
            </w:r>
            <w:r>
              <w:rPr>
                <w:rFonts w:hint="eastAsia"/>
                <w:color w:val="000000"/>
                <w:kern w:val="0"/>
                <w:szCs w:val="21"/>
              </w:rPr>
              <w:t>；</w:t>
            </w:r>
            <w:r>
              <w:rPr>
                <w:color w:val="000000"/>
                <w:kern w:val="0"/>
                <w:szCs w:val="21"/>
              </w:rPr>
              <w:t>动物实验结束后，送本院收集点</w:t>
            </w:r>
            <w:r>
              <w:rPr>
                <w:rFonts w:hint="eastAsia"/>
                <w:color w:val="000000"/>
                <w:kern w:val="0"/>
                <w:szCs w:val="21"/>
              </w:rPr>
              <w:t>经</w:t>
            </w:r>
            <w:r>
              <w:rPr>
                <w:color w:val="000000"/>
                <w:kern w:val="0"/>
                <w:szCs w:val="21"/>
              </w:rPr>
              <w:t>必要的灭菌、灭</w:t>
            </w:r>
            <w:r>
              <w:rPr>
                <w:rFonts w:hint="eastAsia"/>
                <w:color w:val="000000"/>
                <w:kern w:val="0"/>
                <w:szCs w:val="21"/>
              </w:rPr>
              <w:t>活</w:t>
            </w:r>
            <w:r>
              <w:rPr>
                <w:color w:val="000000"/>
                <w:kern w:val="0"/>
                <w:szCs w:val="21"/>
              </w:rPr>
              <w:t>处理</w:t>
            </w:r>
            <w:r>
              <w:rPr>
                <w:rFonts w:hint="eastAsia"/>
                <w:color w:val="000000"/>
                <w:kern w:val="0"/>
                <w:szCs w:val="21"/>
              </w:rPr>
              <w:t>；</w:t>
            </w:r>
            <w:r>
              <w:rPr>
                <w:color w:val="000000"/>
                <w:kern w:val="0"/>
                <w:szCs w:val="21"/>
              </w:rPr>
              <w:t>配备生化</w:t>
            </w:r>
            <w:r>
              <w:rPr>
                <w:rFonts w:hint="eastAsia"/>
                <w:color w:val="000000"/>
                <w:kern w:val="0"/>
                <w:szCs w:val="21"/>
              </w:rPr>
              <w:t>实验</w:t>
            </w:r>
            <w:r>
              <w:rPr>
                <w:color w:val="000000"/>
                <w:kern w:val="0"/>
                <w:szCs w:val="21"/>
              </w:rPr>
              <w:t>废弃物</w:t>
            </w:r>
            <w:r>
              <w:rPr>
                <w:rFonts w:hint="eastAsia"/>
                <w:color w:val="000000"/>
                <w:kern w:val="0"/>
                <w:szCs w:val="21"/>
              </w:rPr>
              <w:t>垃圾桶</w:t>
            </w:r>
            <w:r>
              <w:rPr>
                <w:color w:val="000000"/>
                <w:kern w:val="0"/>
                <w:szCs w:val="21"/>
              </w:rPr>
              <w:t>（一般内置黄色塑料袋）</w:t>
            </w:r>
            <w:r>
              <w:rPr>
                <w:rFonts w:hint="eastAsia"/>
                <w:color w:val="000000"/>
                <w:kern w:val="0"/>
                <w:szCs w:val="21"/>
              </w:rPr>
              <w:t>，</w:t>
            </w:r>
            <w:r>
              <w:rPr>
                <w:color w:val="000000"/>
                <w:kern w:val="0"/>
                <w:szCs w:val="21"/>
              </w:rPr>
              <w:t>有标签</w:t>
            </w:r>
            <w:r>
              <w:rPr>
                <w:rFonts w:hint="eastAsia"/>
                <w:color w:val="000000"/>
                <w:kern w:val="0"/>
                <w:szCs w:val="21"/>
              </w:rPr>
              <w:t>；</w:t>
            </w:r>
            <w:r>
              <w:rPr>
                <w:color w:val="000000"/>
                <w:kern w:val="0"/>
                <w:szCs w:val="21"/>
              </w:rPr>
              <w:t>有统一的</w:t>
            </w:r>
            <w:r>
              <w:rPr>
                <w:rFonts w:hint="eastAsia"/>
                <w:color w:val="000000"/>
                <w:kern w:val="0"/>
                <w:szCs w:val="21"/>
              </w:rPr>
              <w:t>生化</w:t>
            </w:r>
            <w:r>
              <w:rPr>
                <w:color w:val="000000"/>
                <w:kern w:val="0"/>
                <w:szCs w:val="21"/>
              </w:rPr>
              <w:t>实验</w:t>
            </w:r>
            <w:r>
              <w:rPr>
                <w:rFonts w:hint="eastAsia"/>
                <w:color w:val="000000"/>
                <w:kern w:val="0"/>
                <w:szCs w:val="21"/>
              </w:rPr>
              <w:t>废弃物</w:t>
            </w:r>
            <w:r>
              <w:rPr>
                <w:color w:val="000000"/>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9.7.2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生化废弃物的处置应满足特殊要求</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color w:val="000000"/>
                <w:kern w:val="0"/>
                <w:szCs w:val="21"/>
              </w:rPr>
              <w:t>生物实验</w:t>
            </w:r>
            <w:r>
              <w:rPr>
                <w:rFonts w:hint="eastAsia"/>
                <w:color w:val="000000"/>
                <w:kern w:val="0"/>
                <w:szCs w:val="21"/>
              </w:rPr>
              <w:t>产生</w:t>
            </w:r>
            <w:r>
              <w:rPr>
                <w:color w:val="000000"/>
                <w:kern w:val="0"/>
                <w:szCs w:val="21"/>
              </w:rPr>
              <w:t>的</w:t>
            </w:r>
            <w:r>
              <w:rPr>
                <w:rFonts w:hint="eastAsia"/>
                <w:color w:val="000000"/>
                <w:kern w:val="0"/>
                <w:szCs w:val="21"/>
              </w:rPr>
              <w:t>EB胶</w:t>
            </w:r>
            <w:r>
              <w:rPr>
                <w:color w:val="000000"/>
                <w:szCs w:val="21"/>
              </w:rPr>
              <w:t>毒性</w:t>
            </w:r>
            <w:r>
              <w:rPr>
                <w:rFonts w:hint="eastAsia"/>
                <w:color w:val="000000"/>
                <w:szCs w:val="21"/>
              </w:rPr>
              <w:t>强</w:t>
            </w:r>
            <w:r>
              <w:rPr>
                <w:color w:val="000000"/>
                <w:szCs w:val="21"/>
              </w:rPr>
              <w:t>，</w:t>
            </w:r>
            <w:r>
              <w:rPr>
                <w:rFonts w:hint="eastAsia"/>
                <w:color w:val="000000"/>
                <w:szCs w:val="21"/>
              </w:rPr>
              <w:t>需</w:t>
            </w:r>
            <w:r>
              <w:rPr>
                <w:color w:val="000000"/>
                <w:szCs w:val="21"/>
              </w:rPr>
              <w:t>集中存放、</w:t>
            </w:r>
            <w:r>
              <w:rPr>
                <w:color w:val="000000"/>
                <w:kern w:val="0"/>
                <w:szCs w:val="21"/>
              </w:rPr>
              <w:t>贴好</w:t>
            </w:r>
            <w:r>
              <w:rPr>
                <w:rFonts w:hint="eastAsia"/>
                <w:color w:val="000000"/>
                <w:kern w:val="0"/>
                <w:szCs w:val="21"/>
              </w:rPr>
              <w:t>化学</w:t>
            </w:r>
            <w:r>
              <w:rPr>
                <w:color w:val="000000"/>
                <w:kern w:val="0"/>
                <w:szCs w:val="21"/>
              </w:rPr>
              <w:t>废弃物标签</w:t>
            </w:r>
            <w:r>
              <w:rPr>
                <w:rFonts w:hint="eastAsia"/>
                <w:color w:val="000000"/>
                <w:kern w:val="0"/>
                <w:szCs w:val="21"/>
              </w:rPr>
              <w:t>，</w:t>
            </w:r>
            <w:r>
              <w:rPr>
                <w:color w:val="000000"/>
                <w:kern w:val="0"/>
                <w:szCs w:val="21"/>
              </w:rPr>
              <w:t>及时送本院收集点</w:t>
            </w:r>
            <w:r>
              <w:rPr>
                <w:rFonts w:hint="eastAsia"/>
                <w:color w:val="000000"/>
                <w:kern w:val="0"/>
                <w:szCs w:val="21"/>
              </w:rPr>
              <w:t>；</w:t>
            </w:r>
            <w:r>
              <w:rPr>
                <w:color w:val="000000"/>
                <w:kern w:val="0"/>
                <w:szCs w:val="21"/>
              </w:rPr>
              <w:t>刀片、移液枪头等尖锐物应使用耐扎的利器盒</w:t>
            </w:r>
            <w:r>
              <w:rPr>
                <w:rFonts w:hint="eastAsia"/>
                <w:color w:val="000000"/>
                <w:kern w:val="0"/>
                <w:szCs w:val="21"/>
              </w:rPr>
              <w:t>/纸板箱</w:t>
            </w:r>
            <w:r>
              <w:rPr>
                <w:color w:val="000000"/>
                <w:kern w:val="0"/>
                <w:szCs w:val="21"/>
              </w:rPr>
              <w:t>盛放</w:t>
            </w:r>
            <w:r>
              <w:rPr>
                <w:rFonts w:hint="eastAsia"/>
                <w:color w:val="000000"/>
                <w:kern w:val="0"/>
                <w:szCs w:val="21"/>
              </w:rPr>
              <w:t>，</w:t>
            </w:r>
            <w:r>
              <w:rPr>
                <w:color w:val="000000"/>
                <w:kern w:val="0"/>
                <w:szCs w:val="21"/>
              </w:rPr>
              <w:t>送储</w:t>
            </w:r>
            <w:r>
              <w:rPr>
                <w:rFonts w:hint="eastAsia"/>
                <w:color w:val="000000"/>
                <w:kern w:val="0"/>
                <w:szCs w:val="21"/>
              </w:rPr>
              <w:t>时再装入黄色</w:t>
            </w:r>
            <w:r>
              <w:rPr>
                <w:color w:val="000000"/>
                <w:kern w:val="0"/>
                <w:szCs w:val="21"/>
              </w:rPr>
              <w:t>塑料袋</w:t>
            </w:r>
            <w:r>
              <w:rPr>
                <w:rFonts w:hint="eastAsia"/>
                <w:color w:val="000000"/>
                <w:kern w:val="0"/>
                <w:szCs w:val="21"/>
              </w:rPr>
              <w:t>，</w:t>
            </w:r>
            <w:r>
              <w:rPr>
                <w:color w:val="000000"/>
                <w:kern w:val="0"/>
                <w:szCs w:val="21"/>
              </w:rPr>
              <w:t>贴好标签</w:t>
            </w:r>
            <w:r>
              <w:rPr>
                <w:rFonts w:hint="eastAsia"/>
                <w:color w:val="000000"/>
                <w:kern w:val="0"/>
                <w:szCs w:val="21"/>
              </w:rPr>
              <w:t>；</w:t>
            </w:r>
            <w:r>
              <w:rPr>
                <w:color w:val="000000"/>
                <w:kern w:val="0"/>
                <w:szCs w:val="21"/>
              </w:rPr>
              <w:t>涉及病原微生物的实验废弃物必须进行</w:t>
            </w:r>
            <w:r>
              <w:rPr>
                <w:rFonts w:hint="eastAsia"/>
                <w:color w:val="000000"/>
                <w:kern w:val="0"/>
                <w:szCs w:val="21"/>
              </w:rPr>
              <w:t>高温</w:t>
            </w:r>
            <w:r>
              <w:rPr>
                <w:color w:val="000000"/>
                <w:kern w:val="0"/>
                <w:szCs w:val="21"/>
              </w:rPr>
              <w:t>高压灭菌或化学浸泡处理</w:t>
            </w:r>
            <w:r>
              <w:rPr>
                <w:rFonts w:hint="eastAsia"/>
                <w:color w:val="000000"/>
                <w:kern w:val="0"/>
                <w:szCs w:val="21"/>
              </w:rPr>
              <w:t>；</w:t>
            </w:r>
            <w:r>
              <w:rPr>
                <w:color w:val="000000"/>
                <w:kern w:val="0"/>
                <w:szCs w:val="21"/>
              </w:rPr>
              <w:t>高致病性生物材料废弃物处置实现溯源追踪</w:t>
            </w:r>
            <w:r>
              <w:rPr>
                <w:rFonts w:hint="eastAsia"/>
                <w:color w:val="000000"/>
                <w:kern w:val="0"/>
                <w:szCs w:val="21"/>
              </w:rPr>
              <w:t>；生化实验</w:t>
            </w:r>
            <w:r>
              <w:rPr>
                <w:color w:val="000000"/>
                <w:kern w:val="0"/>
                <w:szCs w:val="21"/>
              </w:rPr>
              <w:t>废弃物</w:t>
            </w:r>
            <w:r>
              <w:rPr>
                <w:rFonts w:hint="eastAsia"/>
                <w:color w:val="000000"/>
                <w:kern w:val="0"/>
                <w:szCs w:val="21"/>
              </w:rPr>
              <w:t>不得混入</w:t>
            </w:r>
            <w:r>
              <w:rPr>
                <w:color w:val="000000"/>
                <w:kern w:val="0"/>
                <w:szCs w:val="21"/>
              </w:rPr>
              <w:t>生活垃圾桶，生活垃圾</w:t>
            </w:r>
            <w:r>
              <w:rPr>
                <w:rFonts w:hint="eastAsia"/>
                <w:color w:val="000000"/>
                <w:kern w:val="0"/>
                <w:szCs w:val="21"/>
              </w:rPr>
              <w:t>不得</w:t>
            </w:r>
            <w:r>
              <w:rPr>
                <w:color w:val="000000"/>
                <w:kern w:val="0"/>
                <w:szCs w:val="21"/>
              </w:rPr>
              <w:t>混入生化</w:t>
            </w:r>
            <w:r>
              <w:rPr>
                <w:rFonts w:hint="eastAsia"/>
                <w:color w:val="000000"/>
                <w:kern w:val="0"/>
                <w:szCs w:val="21"/>
              </w:rPr>
              <w:t>实验</w:t>
            </w:r>
            <w:r>
              <w:rPr>
                <w:color w:val="000000"/>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382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单位</w:t>
            </w:r>
            <w:r>
              <w:rPr>
                <w:rFonts w:hint="eastAsia"/>
                <w:bCs/>
                <w:kern w:val="0"/>
                <w:szCs w:val="21"/>
              </w:rPr>
              <w:t>须</w:t>
            </w:r>
            <w:r>
              <w:rPr>
                <w:kern w:val="0"/>
                <w:szCs w:val="21"/>
              </w:rPr>
              <w:t>取得“辐射安全许可证”</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kern w:val="0"/>
                <w:szCs w:val="21"/>
              </w:rPr>
              <w:t>并按规定在放射性核素种类和用量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10.2</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场所设施</w:t>
            </w:r>
            <w:r>
              <w:rPr>
                <w:rFonts w:hint="eastAsia"/>
                <w:b/>
                <w:color w:val="000000"/>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10.2.1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辐射设施和场所应设有警示、连锁和报警装置</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color w:val="000000"/>
                <w:kern w:val="0"/>
                <w:szCs w:val="21"/>
              </w:rPr>
              <w:t>放射源储存库</w:t>
            </w:r>
            <w:r>
              <w:rPr>
                <w:rFonts w:hint="eastAsia"/>
                <w:color w:val="000000"/>
                <w:kern w:val="0"/>
                <w:szCs w:val="21"/>
              </w:rPr>
              <w:t>应设</w:t>
            </w:r>
            <w:r>
              <w:rPr>
                <w:color w:val="000000"/>
                <w:kern w:val="0"/>
                <w:szCs w:val="21"/>
              </w:rPr>
              <w:t>双门双控，并有安全报警系统（与公安部门联网）和视频监控系统</w:t>
            </w:r>
            <w:r>
              <w:rPr>
                <w:rFonts w:hint="eastAsia"/>
                <w:color w:val="000000"/>
                <w:kern w:val="0"/>
                <w:szCs w:val="21"/>
              </w:rPr>
              <w:t>、</w:t>
            </w:r>
            <w:r>
              <w:rPr>
                <w:color w:val="000000"/>
                <w:kern w:val="0"/>
                <w:szCs w:val="21"/>
              </w:rPr>
              <w:t>辐照设施设备</w:t>
            </w:r>
            <w:r>
              <w:rPr>
                <w:rFonts w:hint="eastAsia"/>
                <w:color w:val="000000"/>
                <w:kern w:val="0"/>
                <w:szCs w:val="21"/>
              </w:rPr>
              <w:t>和2类</w:t>
            </w:r>
            <w:r>
              <w:rPr>
                <w:color w:val="000000"/>
                <w:kern w:val="0"/>
                <w:szCs w:val="21"/>
              </w:rPr>
              <w:t>以上射线装置具有能正常工作的安全连锁装置</w:t>
            </w:r>
            <w:r>
              <w:rPr>
                <w:rFonts w:hint="eastAsia"/>
                <w:color w:val="000000"/>
                <w:kern w:val="0"/>
                <w:szCs w:val="21"/>
              </w:rPr>
              <w:t>和</w:t>
            </w:r>
            <w:r>
              <w:rPr>
                <w:color w:val="000000"/>
                <w:kern w:val="0"/>
                <w:szCs w:val="21"/>
              </w:rPr>
              <w:t>报警装置</w:t>
            </w:r>
            <w:r>
              <w:rPr>
                <w:rFonts w:hint="eastAsia"/>
                <w:color w:val="000000"/>
                <w:kern w:val="0"/>
                <w:szCs w:val="21"/>
              </w:rPr>
              <w:t>、</w:t>
            </w:r>
            <w:r>
              <w:rPr>
                <w:color w:val="000000"/>
                <w:kern w:val="0"/>
                <w:szCs w:val="21"/>
              </w:rPr>
              <w:t>有</w:t>
            </w:r>
            <w:r>
              <w:rPr>
                <w:rFonts w:hint="eastAsia"/>
                <w:color w:val="000000"/>
                <w:kern w:val="0"/>
                <w:szCs w:val="21"/>
              </w:rPr>
              <w:t>明显的</w:t>
            </w:r>
            <w:r>
              <w:rPr>
                <w:color w:val="000000"/>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10.2.</w:t>
            </w:r>
            <w:r>
              <w:rPr>
                <w:rFonts w:hint="eastAsia"/>
                <w:color w:val="000000"/>
                <w:kern w:val="0"/>
                <w:szCs w:val="21"/>
              </w:rPr>
              <w:t>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szCs w:val="21"/>
              </w:rPr>
              <w:t>涉源实验</w:t>
            </w:r>
            <w:r>
              <w:rPr>
                <w:color w:val="000000"/>
                <w:szCs w:val="21"/>
              </w:rPr>
              <w:t>场所每年有合格的实验场所检测报告</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现场、</w:t>
            </w:r>
            <w:r>
              <w:rPr>
                <w:rFonts w:hint="eastAsia"/>
                <w:bCs/>
                <w:color w:val="000000"/>
                <w:kern w:val="0"/>
                <w:szCs w:val="21"/>
              </w:rPr>
              <w:t>检定</w:t>
            </w:r>
            <w:r>
              <w:rPr>
                <w:bCs/>
                <w:color w:val="000000"/>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10.2.</w:t>
            </w:r>
            <w:r>
              <w:rPr>
                <w:rFonts w:hint="eastAsia"/>
                <w:color w:val="000000"/>
                <w:kern w:val="0"/>
                <w:szCs w:val="21"/>
              </w:rPr>
              <w:t>3</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学校设</w:t>
            </w:r>
            <w:r>
              <w:rPr>
                <w:color w:val="000000"/>
                <w:kern w:val="0"/>
                <w:szCs w:val="21"/>
              </w:rPr>
              <w:t>有专门存放放射性废弃物的容器和暂存库</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color w:val="000000"/>
                <w:kern w:val="0"/>
                <w:szCs w:val="21"/>
              </w:rPr>
              <w:t>非密封性放射性实验室有衰减池，</w:t>
            </w:r>
            <w:r>
              <w:rPr>
                <w:color w:val="000000"/>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10.2.4</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放射性物质的</w:t>
            </w:r>
            <w:r>
              <w:rPr>
                <w:rFonts w:hint="eastAsia"/>
                <w:color w:val="000000"/>
                <w:kern w:val="0"/>
                <w:szCs w:val="21"/>
              </w:rPr>
              <w:t>采购、</w:t>
            </w:r>
            <w:r>
              <w:rPr>
                <w:color w:val="000000"/>
                <w:kern w:val="0"/>
                <w:szCs w:val="21"/>
              </w:rPr>
              <w:t>转移和运输</w:t>
            </w:r>
            <w:r>
              <w:rPr>
                <w:rFonts w:hint="eastAsia"/>
                <w:color w:val="000000"/>
                <w:kern w:val="0"/>
                <w:szCs w:val="21"/>
              </w:rPr>
              <w:t>应按规定报批</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color w:val="000000"/>
                <w:kern w:val="0"/>
                <w:szCs w:val="21"/>
              </w:rPr>
              <w:t>放射源和放射性物质的采购和转让转移有学校及政府环保部门的审批备案材料</w:t>
            </w:r>
            <w:r>
              <w:rPr>
                <w:rFonts w:hint="eastAsia"/>
                <w:color w:val="000000"/>
                <w:kern w:val="0"/>
                <w:szCs w:val="21"/>
              </w:rPr>
              <w:t>，</w:t>
            </w:r>
            <w:r>
              <w:rPr>
                <w:color w:val="000000"/>
                <w:kern w:val="0"/>
                <w:szCs w:val="21"/>
              </w:rPr>
              <w:t>上述</w:t>
            </w:r>
            <w:r>
              <w:rPr>
                <w:rFonts w:hint="eastAsia"/>
                <w:color w:val="000000"/>
                <w:kern w:val="0"/>
                <w:szCs w:val="21"/>
              </w:rPr>
              <w:t>采购和转让转移前</w:t>
            </w:r>
            <w:r>
              <w:rPr>
                <w:color w:val="000000"/>
                <w:kern w:val="0"/>
                <w:szCs w:val="21"/>
              </w:rPr>
              <w:t>必须</w:t>
            </w:r>
            <w:r>
              <w:rPr>
                <w:rFonts w:hint="eastAsia"/>
                <w:color w:val="000000"/>
                <w:kern w:val="0"/>
                <w:szCs w:val="21"/>
              </w:rPr>
              <w:t>先</w:t>
            </w:r>
            <w:r>
              <w:rPr>
                <w:color w:val="000000"/>
                <w:kern w:val="0"/>
                <w:szCs w:val="21"/>
              </w:rPr>
              <w:t>做环境影响评价工作</w:t>
            </w:r>
            <w:r>
              <w:rPr>
                <w:rFonts w:hint="eastAsia"/>
                <w:color w:val="000000"/>
                <w:kern w:val="0"/>
                <w:szCs w:val="21"/>
              </w:rPr>
              <w:t>；</w:t>
            </w:r>
            <w:r>
              <w:rPr>
                <w:color w:val="000000"/>
                <w:kern w:val="0"/>
                <w:szCs w:val="21"/>
              </w:rPr>
              <w:t>放射性物质的转移和运输有学校及公安部门的审批备案材料</w:t>
            </w:r>
            <w:r>
              <w:rPr>
                <w:rFonts w:hint="eastAsia"/>
                <w:color w:val="000000"/>
                <w:kern w:val="0"/>
                <w:szCs w:val="21"/>
              </w:rPr>
              <w:t>；</w:t>
            </w:r>
            <w:r>
              <w:rPr>
                <w:color w:val="000000"/>
                <w:kern w:val="0"/>
                <w:szCs w:val="21"/>
              </w:rPr>
              <w:t>放射源</w:t>
            </w:r>
            <w:r>
              <w:rPr>
                <w:rFonts w:hint="eastAsia"/>
                <w:color w:val="000000"/>
                <w:kern w:val="0"/>
                <w:szCs w:val="21"/>
              </w:rPr>
              <w:t>、</w:t>
            </w:r>
            <w:r>
              <w:rPr>
                <w:color w:val="000000"/>
                <w:kern w:val="0"/>
                <w:szCs w:val="21"/>
              </w:rPr>
              <w:t>放射性物质</w:t>
            </w:r>
            <w:r>
              <w:rPr>
                <w:rFonts w:hint="eastAsia"/>
                <w:color w:val="000000"/>
                <w:kern w:val="0"/>
                <w:szCs w:val="21"/>
              </w:rPr>
              <w:t>以及3类</w:t>
            </w:r>
            <w:r>
              <w:rPr>
                <w:color w:val="000000"/>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10.</w:t>
            </w:r>
            <w:r>
              <w:rPr>
                <w:rFonts w:hint="eastAsia"/>
                <w:b/>
                <w:color w:val="000000"/>
                <w:kern w:val="0"/>
                <w:szCs w:val="21"/>
              </w:rPr>
              <w:t>3</w:t>
            </w:r>
          </w:p>
        </w:tc>
        <w:tc>
          <w:tcPr>
            <w:tcW w:w="14023" w:type="dxa"/>
            <w:gridSpan w:val="3"/>
            <w:shd w:val="clear" w:color="auto" w:fill="auto"/>
            <w:tcMar>
              <w:left w:w="45" w:type="dxa"/>
              <w:right w:w="45" w:type="dxa"/>
            </w:tcMar>
            <w:vAlign w:val="center"/>
          </w:tcPr>
          <w:p>
            <w:pPr>
              <w:widowControl/>
              <w:spacing w:line="300" w:lineRule="exact"/>
              <w:jc w:val="left"/>
              <w:rPr>
                <w:b/>
                <w:color w:val="000000"/>
                <w:kern w:val="0"/>
                <w:szCs w:val="21"/>
              </w:rPr>
            </w:pPr>
            <w:r>
              <w:rPr>
                <w:b/>
                <w:color w:val="000000"/>
                <w:kern w:val="0"/>
                <w:szCs w:val="21"/>
              </w:rPr>
              <w:t>放射性实验安全</w:t>
            </w:r>
            <w:r>
              <w:rPr>
                <w:rFonts w:hint="eastAsia"/>
                <w:b/>
                <w:color w:val="000000"/>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10.3.1</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各类放射性</w:t>
            </w:r>
            <w:r>
              <w:rPr>
                <w:color w:val="000000"/>
                <w:kern w:val="0"/>
                <w:szCs w:val="21"/>
              </w:rPr>
              <w:t>装置有符合国家相关规定的操作规程、安保方案及应急预案，并遵照执行</w:t>
            </w:r>
          </w:p>
        </w:tc>
        <w:tc>
          <w:tcPr>
            <w:tcW w:w="7374" w:type="dxa"/>
            <w:shd w:val="clear" w:color="auto" w:fill="auto"/>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重点关注</w:t>
            </w:r>
            <w:r>
              <w:rPr>
                <w:color w:val="000000"/>
                <w:kern w:val="0"/>
                <w:szCs w:val="21"/>
              </w:rPr>
              <w:t>Г辐照</w:t>
            </w:r>
            <w:r>
              <w:rPr>
                <w:rFonts w:hint="eastAsia"/>
                <w:color w:val="000000"/>
                <w:kern w:val="0"/>
                <w:szCs w:val="21"/>
              </w:rPr>
              <w:t>、</w:t>
            </w:r>
            <w:r>
              <w:rPr>
                <w:color w:val="000000"/>
                <w:kern w:val="0"/>
                <w:szCs w:val="21"/>
              </w:rPr>
              <w:t>电子加速器</w:t>
            </w:r>
            <w:r>
              <w:rPr>
                <w:rFonts w:hint="eastAsia"/>
                <w:color w:val="000000"/>
                <w:kern w:val="0"/>
                <w:szCs w:val="21"/>
              </w:rPr>
              <w:t>、</w:t>
            </w:r>
            <w:r>
              <w:rPr>
                <w:color w:val="000000"/>
                <w:kern w:val="0"/>
                <w:szCs w:val="21"/>
              </w:rPr>
              <w:t>射线探伤仪</w:t>
            </w:r>
            <w:r>
              <w:rPr>
                <w:rFonts w:hint="eastAsia"/>
                <w:color w:val="000000"/>
                <w:kern w:val="0"/>
                <w:szCs w:val="21"/>
              </w:rPr>
              <w:t>、</w:t>
            </w:r>
            <w:r>
              <w:rPr>
                <w:color w:val="000000"/>
                <w:kern w:val="0"/>
                <w:szCs w:val="21"/>
              </w:rPr>
              <w:t>非密封性放射性实验操作</w:t>
            </w:r>
            <w:r>
              <w:rPr>
                <w:rFonts w:hint="eastAsia"/>
                <w:color w:val="000000"/>
                <w:kern w:val="0"/>
                <w:szCs w:val="21"/>
              </w:rPr>
              <w:t>、5类</w:t>
            </w:r>
            <w:r>
              <w:rPr>
                <w:color w:val="000000"/>
                <w:kern w:val="0"/>
                <w:szCs w:val="21"/>
              </w:rPr>
              <w:t>以上的密封性放射性实验操作</w:t>
            </w:r>
            <w:r>
              <w:rPr>
                <w:rFonts w:hint="eastAsia"/>
                <w:color w:val="000000"/>
                <w:kern w:val="0"/>
                <w:szCs w:val="21"/>
              </w:rPr>
              <w:t xml:space="preserve"> </w:t>
            </w:r>
            <w:r>
              <w:rPr>
                <w:color w:val="000000"/>
                <w:kern w:val="0"/>
                <w:szCs w:val="21"/>
              </w:rPr>
              <w:t xml:space="preserve">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10.3.2</w:t>
            </w:r>
          </w:p>
        </w:tc>
        <w:tc>
          <w:tcPr>
            <w:tcW w:w="3820" w:type="dxa"/>
            <w:shd w:val="clear" w:color="auto" w:fill="auto"/>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放射源及设备报废时</w:t>
            </w:r>
            <w:r>
              <w:rPr>
                <w:color w:val="000000"/>
                <w:kern w:val="0"/>
                <w:szCs w:val="21"/>
              </w:rPr>
              <w:t>有符合国家相关规定的处置方案或回收协议</w:t>
            </w:r>
          </w:p>
        </w:tc>
        <w:tc>
          <w:tcPr>
            <w:tcW w:w="7374" w:type="dxa"/>
            <w:shd w:val="clear" w:color="auto" w:fill="auto"/>
            <w:tcMar>
              <w:left w:w="45" w:type="dxa"/>
              <w:right w:w="45" w:type="dxa"/>
            </w:tcMar>
            <w:vAlign w:val="center"/>
          </w:tcPr>
          <w:p>
            <w:pPr>
              <w:widowControl/>
              <w:spacing w:line="300" w:lineRule="exact"/>
              <w:jc w:val="left"/>
              <w:rPr>
                <w:color w:val="000000"/>
                <w:kern w:val="0"/>
                <w:szCs w:val="21"/>
              </w:rPr>
            </w:pPr>
            <w:r>
              <w:rPr>
                <w:color w:val="000000"/>
                <w:kern w:val="0"/>
                <w:szCs w:val="21"/>
              </w:rPr>
              <w:t>中、长半衰期核素固液废弃物有符合国家相关规定的处置方案或回收协议，短半衰期核素固液废弃物放置10个半衰期经检测达标后作为普通废物处理</w:t>
            </w:r>
            <w:r>
              <w:rPr>
                <w:rFonts w:hint="eastAsia"/>
                <w:color w:val="000000"/>
                <w:kern w:val="0"/>
                <w:szCs w:val="21"/>
              </w:rPr>
              <w:t>，</w:t>
            </w:r>
            <w:r>
              <w:rPr>
                <w:color w:val="000000"/>
                <w:kern w:val="0"/>
                <w:szCs w:val="21"/>
              </w:rPr>
              <w:t>并有处置记录</w:t>
            </w:r>
            <w:r>
              <w:rPr>
                <w:rFonts w:hint="eastAsia"/>
                <w:color w:val="000000"/>
                <w:kern w:val="0"/>
                <w:szCs w:val="21"/>
              </w:rPr>
              <w:t>；</w:t>
            </w:r>
            <w:r>
              <w:rPr>
                <w:color w:val="000000"/>
                <w:kern w:val="0"/>
                <w:szCs w:val="21"/>
              </w:rPr>
              <w:t>报废含有放射源或可产生放射性的设备，需报学校管理部门同意，并按国家规定进行退役处置</w:t>
            </w:r>
            <w:r>
              <w:rPr>
                <w:rFonts w:hint="eastAsia"/>
                <w:color w:val="000000"/>
                <w:kern w:val="0"/>
                <w:szCs w:val="21"/>
              </w:rPr>
              <w:t>；</w:t>
            </w:r>
            <w:r>
              <w:rPr>
                <w:rFonts w:hint="eastAsia"/>
                <w:bCs/>
                <w:color w:val="000000"/>
                <w:kern w:val="0"/>
                <w:szCs w:val="21"/>
              </w:rPr>
              <w:t>X光管</w:t>
            </w:r>
            <w:r>
              <w:rPr>
                <w:bCs/>
                <w:color w:val="000000"/>
                <w:kern w:val="0"/>
                <w:szCs w:val="21"/>
              </w:rPr>
              <w:t>报废时应敲碎</w:t>
            </w:r>
            <w:r>
              <w:rPr>
                <w:rFonts w:hint="eastAsia"/>
                <w:bCs/>
                <w:color w:val="000000"/>
                <w:kern w:val="0"/>
                <w:szCs w:val="21"/>
              </w:rPr>
              <w:t>，</w:t>
            </w:r>
            <w:r>
              <w:rPr>
                <w:bCs/>
                <w:color w:val="000000"/>
                <w:kern w:val="0"/>
                <w:szCs w:val="21"/>
              </w:rPr>
              <w:t>拍照留存</w:t>
            </w:r>
            <w:r>
              <w:rPr>
                <w:rFonts w:hint="eastAsia"/>
                <w:bCs/>
                <w:color w:val="000000"/>
                <w:kern w:val="0"/>
                <w:szCs w:val="21"/>
              </w:rPr>
              <w:t>；</w:t>
            </w:r>
            <w:r>
              <w:rPr>
                <w:rFonts w:hint="eastAsia"/>
                <w:color w:val="000000"/>
                <w:kern w:val="0"/>
                <w:szCs w:val="21"/>
              </w:rPr>
              <w:t>涉源</w:t>
            </w:r>
            <w:r>
              <w:rPr>
                <w:color w:val="000000"/>
                <w:kern w:val="0"/>
                <w:szCs w:val="21"/>
              </w:rPr>
              <w:t>实验场所退役，须按国家相关规定</w:t>
            </w:r>
            <w:r>
              <w:rPr>
                <w:rFonts w:hint="eastAsia"/>
                <w:color w:val="000000"/>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7374"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仪器设备的接电和用电符合相关要求</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仪器设备接地系统应按规范要求，采用铜质材料，且设计寿命不应低于50年，接地电阻不高于0.5欧；电脑、空调、电加热器、饮水机等不随意开机过夜；</w:t>
            </w:r>
            <w:r>
              <w:rPr>
                <w:kern w:val="0"/>
                <w:szCs w:val="21"/>
              </w:rPr>
              <w:t>对于不能断电的特殊仪器设备，采取了必要的防护措施（如双路供电、不间断电源、监控报警等）</w:t>
            </w:r>
            <w:r>
              <w:rPr>
                <w:rFonts w:hint="eastAsia"/>
                <w:kern w:val="0"/>
                <w:szCs w:val="21"/>
              </w:rPr>
              <w:t>，昼夜工作的设备建议有实时监控设施</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11.1.4</w:t>
            </w:r>
          </w:p>
        </w:tc>
        <w:tc>
          <w:tcPr>
            <w:tcW w:w="3820" w:type="dxa"/>
            <w:shd w:val="clear" w:color="auto" w:fill="auto"/>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对于超高速离心机，需要放置在离心室</w:t>
            </w:r>
            <w:r>
              <w:rPr>
                <w:rFonts w:hint="eastAsia"/>
                <w:szCs w:val="21"/>
              </w:rPr>
              <w:t>；</w:t>
            </w:r>
            <w:r>
              <w:rPr>
                <w:kern w:val="0"/>
                <w:szCs w:val="21"/>
              </w:rPr>
              <w:t>自研自制设备时，须充分考虑安全系数，并有安全防护措施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关注要点：机床应保持清洁整齐；严禁在床头、床面、刀架上放一切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等配饰物，禁穿拖鞋、高跟鞋等；设备在运转时，严禁用手调整；禁止操作人员的身体任一部位进入危险区，如需调整应首先关停机械设备</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C以上，锻锤空置时应垫有木块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关注要点：电气设备所用的保险丝(管)的额定电流应与其负荷容量相适应，无用其它金属线代替保险丝(片)现象；各种电器设备及电线应始终保持干燥，防止浸湿，以防短路引起火灾或烧坏电气设备；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强电实验室禁止存放易燃、易爆、易腐品，保持通风散热；照明灯应从总开阀上端引出，必须配备干粉灭火器、黄砂箱、铁锹等；应为设备配备残余电流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静电场所，要保持空气湿润，工作人员要穿防静电的衣服和鞋靴；禁止穿着化纤制品等服饰</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保证实验室粉尘浓度在爆炸限以下，并配备合适的灭火装置</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禁用干粉、水剂型和泡沫型灭火器；粉尘浓度较高的场所，有加湿装置（喷雾）使湿度在65%以上</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起重机械需定期保养，设置警示标示，安装防护设施</w:t>
            </w:r>
          </w:p>
        </w:tc>
        <w:tc>
          <w:tcPr>
            <w:tcW w:w="7374"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容器的电器开关和熔断器都应设置在明显位置，同时应设避雷装置；电气设施是否防爆，避雷装置是否接地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shd w:val="clear" w:color="auto" w:fill="auto"/>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标识至少包括：</w:t>
            </w:r>
            <w:r>
              <w:rPr>
                <w:kern w:val="0"/>
                <w:szCs w:val="21"/>
              </w:rPr>
              <w:t>品名、使用人、日期等，并经常清理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rFonts w:hint="eastAsia"/>
                <w:kern w:val="0"/>
                <w:szCs w:val="21"/>
              </w:rPr>
              <w:t>；</w:t>
            </w:r>
            <w:r>
              <w:rPr>
                <w:kern w:val="0"/>
                <w:szCs w:val="21"/>
              </w:rPr>
              <w:t>有许可证使用明火电炉的，其使用位置周围无易燃物品，并配备了灭火器、砂桶等灭火设施</w:t>
            </w:r>
            <w:r>
              <w:rPr>
                <w:rFonts w:hint="eastAsia"/>
                <w:kern w:val="0"/>
                <w:szCs w:val="21"/>
              </w:rPr>
              <w:t>；</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5D3E"/>
    <w:rsid w:val="00027CE8"/>
    <w:rsid w:val="00032348"/>
    <w:rsid w:val="000344B2"/>
    <w:rsid w:val="000349F6"/>
    <w:rsid w:val="00036149"/>
    <w:rsid w:val="00037567"/>
    <w:rsid w:val="0004022D"/>
    <w:rsid w:val="00041761"/>
    <w:rsid w:val="00045AFE"/>
    <w:rsid w:val="000500EB"/>
    <w:rsid w:val="00050332"/>
    <w:rsid w:val="00050A3F"/>
    <w:rsid w:val="000534B0"/>
    <w:rsid w:val="00054FE8"/>
    <w:rsid w:val="0005502C"/>
    <w:rsid w:val="000561EB"/>
    <w:rsid w:val="00062B6A"/>
    <w:rsid w:val="000631C4"/>
    <w:rsid w:val="00063601"/>
    <w:rsid w:val="00064691"/>
    <w:rsid w:val="00065355"/>
    <w:rsid w:val="000662B9"/>
    <w:rsid w:val="00067A83"/>
    <w:rsid w:val="0007264E"/>
    <w:rsid w:val="000730A7"/>
    <w:rsid w:val="000740FE"/>
    <w:rsid w:val="00074118"/>
    <w:rsid w:val="00075121"/>
    <w:rsid w:val="00080553"/>
    <w:rsid w:val="000841ED"/>
    <w:rsid w:val="00085554"/>
    <w:rsid w:val="00087332"/>
    <w:rsid w:val="00090D7D"/>
    <w:rsid w:val="000927AE"/>
    <w:rsid w:val="00094034"/>
    <w:rsid w:val="0009716A"/>
    <w:rsid w:val="00097205"/>
    <w:rsid w:val="000A2040"/>
    <w:rsid w:val="000A3CF6"/>
    <w:rsid w:val="000A4456"/>
    <w:rsid w:val="000A4E74"/>
    <w:rsid w:val="000A4F36"/>
    <w:rsid w:val="000B02CC"/>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D66"/>
    <w:rsid w:val="001013B9"/>
    <w:rsid w:val="0010152B"/>
    <w:rsid w:val="001040F3"/>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98A"/>
    <w:rsid w:val="00123622"/>
    <w:rsid w:val="00125C51"/>
    <w:rsid w:val="00126CE4"/>
    <w:rsid w:val="0012755C"/>
    <w:rsid w:val="00131CE5"/>
    <w:rsid w:val="00132CA5"/>
    <w:rsid w:val="001334D8"/>
    <w:rsid w:val="00135444"/>
    <w:rsid w:val="00135DBD"/>
    <w:rsid w:val="0013645C"/>
    <w:rsid w:val="00142F28"/>
    <w:rsid w:val="00142F90"/>
    <w:rsid w:val="00143F64"/>
    <w:rsid w:val="001473EB"/>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B0B26"/>
    <w:rsid w:val="001B1667"/>
    <w:rsid w:val="001B16DB"/>
    <w:rsid w:val="001B1CF6"/>
    <w:rsid w:val="001B23B2"/>
    <w:rsid w:val="001B2652"/>
    <w:rsid w:val="001B2B5D"/>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305E"/>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42FD"/>
    <w:rsid w:val="00255C8C"/>
    <w:rsid w:val="00255D52"/>
    <w:rsid w:val="00260336"/>
    <w:rsid w:val="00260852"/>
    <w:rsid w:val="00261941"/>
    <w:rsid w:val="00262577"/>
    <w:rsid w:val="00263347"/>
    <w:rsid w:val="002709C1"/>
    <w:rsid w:val="002717FD"/>
    <w:rsid w:val="00271D7A"/>
    <w:rsid w:val="00275E3C"/>
    <w:rsid w:val="00276BD3"/>
    <w:rsid w:val="00276E06"/>
    <w:rsid w:val="00277FBA"/>
    <w:rsid w:val="00281C08"/>
    <w:rsid w:val="0028289C"/>
    <w:rsid w:val="00282D6E"/>
    <w:rsid w:val="00283339"/>
    <w:rsid w:val="00285831"/>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C60"/>
    <w:rsid w:val="002C4529"/>
    <w:rsid w:val="002C586F"/>
    <w:rsid w:val="002C6B5B"/>
    <w:rsid w:val="002D216D"/>
    <w:rsid w:val="002D22B6"/>
    <w:rsid w:val="002D2C5E"/>
    <w:rsid w:val="002D38F5"/>
    <w:rsid w:val="002D5074"/>
    <w:rsid w:val="002D76D9"/>
    <w:rsid w:val="002E00FB"/>
    <w:rsid w:val="002E2D3E"/>
    <w:rsid w:val="002E3485"/>
    <w:rsid w:val="002E3E8F"/>
    <w:rsid w:val="002E4C01"/>
    <w:rsid w:val="002E55BE"/>
    <w:rsid w:val="002F2441"/>
    <w:rsid w:val="002F2870"/>
    <w:rsid w:val="002F332F"/>
    <w:rsid w:val="002F422D"/>
    <w:rsid w:val="002F4283"/>
    <w:rsid w:val="002F60F0"/>
    <w:rsid w:val="002F63D6"/>
    <w:rsid w:val="002F6EA9"/>
    <w:rsid w:val="002F7375"/>
    <w:rsid w:val="003012E3"/>
    <w:rsid w:val="00302310"/>
    <w:rsid w:val="003044AB"/>
    <w:rsid w:val="00310ABE"/>
    <w:rsid w:val="003168D9"/>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CF3"/>
    <w:rsid w:val="00344710"/>
    <w:rsid w:val="003454BC"/>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330B"/>
    <w:rsid w:val="00394BF6"/>
    <w:rsid w:val="0039653B"/>
    <w:rsid w:val="003968EA"/>
    <w:rsid w:val="003979AA"/>
    <w:rsid w:val="003A108E"/>
    <w:rsid w:val="003A1BC1"/>
    <w:rsid w:val="003A30A2"/>
    <w:rsid w:val="003A363C"/>
    <w:rsid w:val="003A4EDD"/>
    <w:rsid w:val="003A6E6B"/>
    <w:rsid w:val="003A7E61"/>
    <w:rsid w:val="003B1481"/>
    <w:rsid w:val="003B319C"/>
    <w:rsid w:val="003C039B"/>
    <w:rsid w:val="003C22F8"/>
    <w:rsid w:val="003C2A42"/>
    <w:rsid w:val="003C44F0"/>
    <w:rsid w:val="003C6ABB"/>
    <w:rsid w:val="003C7F9A"/>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52BD"/>
    <w:rsid w:val="00436CAB"/>
    <w:rsid w:val="00440BF0"/>
    <w:rsid w:val="00444DFA"/>
    <w:rsid w:val="00445C73"/>
    <w:rsid w:val="004474CC"/>
    <w:rsid w:val="00447C6A"/>
    <w:rsid w:val="00453739"/>
    <w:rsid w:val="0045391A"/>
    <w:rsid w:val="00456636"/>
    <w:rsid w:val="00460D2E"/>
    <w:rsid w:val="004612CD"/>
    <w:rsid w:val="00462221"/>
    <w:rsid w:val="00462734"/>
    <w:rsid w:val="00464024"/>
    <w:rsid w:val="004644FD"/>
    <w:rsid w:val="004659C1"/>
    <w:rsid w:val="00466C97"/>
    <w:rsid w:val="00466EA6"/>
    <w:rsid w:val="004735DF"/>
    <w:rsid w:val="0047428E"/>
    <w:rsid w:val="0047457E"/>
    <w:rsid w:val="004753DB"/>
    <w:rsid w:val="00475423"/>
    <w:rsid w:val="004805DC"/>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C0020"/>
    <w:rsid w:val="004C130A"/>
    <w:rsid w:val="004C18F5"/>
    <w:rsid w:val="004C1F34"/>
    <w:rsid w:val="004C4077"/>
    <w:rsid w:val="004C416E"/>
    <w:rsid w:val="004C4CBA"/>
    <w:rsid w:val="004C5E32"/>
    <w:rsid w:val="004C689D"/>
    <w:rsid w:val="004C7968"/>
    <w:rsid w:val="004D198C"/>
    <w:rsid w:val="004D4C5E"/>
    <w:rsid w:val="004D617A"/>
    <w:rsid w:val="004D7784"/>
    <w:rsid w:val="004E04BA"/>
    <w:rsid w:val="004E140E"/>
    <w:rsid w:val="004E1721"/>
    <w:rsid w:val="004E53B0"/>
    <w:rsid w:val="004E5633"/>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11DC0"/>
    <w:rsid w:val="00515978"/>
    <w:rsid w:val="00516278"/>
    <w:rsid w:val="0051632E"/>
    <w:rsid w:val="00516799"/>
    <w:rsid w:val="00520D98"/>
    <w:rsid w:val="00522EFA"/>
    <w:rsid w:val="00523013"/>
    <w:rsid w:val="0052541B"/>
    <w:rsid w:val="00525796"/>
    <w:rsid w:val="005263F0"/>
    <w:rsid w:val="00526FCD"/>
    <w:rsid w:val="00527204"/>
    <w:rsid w:val="00531CAB"/>
    <w:rsid w:val="00533876"/>
    <w:rsid w:val="005361DE"/>
    <w:rsid w:val="00537B59"/>
    <w:rsid w:val="00537B6E"/>
    <w:rsid w:val="00540C78"/>
    <w:rsid w:val="0054230F"/>
    <w:rsid w:val="00543880"/>
    <w:rsid w:val="005441D1"/>
    <w:rsid w:val="00544BFC"/>
    <w:rsid w:val="0054527C"/>
    <w:rsid w:val="0054610B"/>
    <w:rsid w:val="00546640"/>
    <w:rsid w:val="00547028"/>
    <w:rsid w:val="00552930"/>
    <w:rsid w:val="005544D2"/>
    <w:rsid w:val="0055589E"/>
    <w:rsid w:val="00560AA0"/>
    <w:rsid w:val="00560D11"/>
    <w:rsid w:val="00560D49"/>
    <w:rsid w:val="00561117"/>
    <w:rsid w:val="005629F9"/>
    <w:rsid w:val="00562FB0"/>
    <w:rsid w:val="005669D3"/>
    <w:rsid w:val="005717D7"/>
    <w:rsid w:val="00571BF9"/>
    <w:rsid w:val="0057252B"/>
    <w:rsid w:val="005740F2"/>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9EA"/>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5DE"/>
    <w:rsid w:val="00600BF7"/>
    <w:rsid w:val="00601E84"/>
    <w:rsid w:val="006032C1"/>
    <w:rsid w:val="00603444"/>
    <w:rsid w:val="00605210"/>
    <w:rsid w:val="00607F9F"/>
    <w:rsid w:val="0061454A"/>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64C"/>
    <w:rsid w:val="006644F6"/>
    <w:rsid w:val="006646C2"/>
    <w:rsid w:val="006656D0"/>
    <w:rsid w:val="00666AD3"/>
    <w:rsid w:val="00667FE5"/>
    <w:rsid w:val="00670740"/>
    <w:rsid w:val="00672A02"/>
    <w:rsid w:val="006800A8"/>
    <w:rsid w:val="00681F52"/>
    <w:rsid w:val="00683AC0"/>
    <w:rsid w:val="00685ED1"/>
    <w:rsid w:val="00691D4D"/>
    <w:rsid w:val="00692009"/>
    <w:rsid w:val="006924EB"/>
    <w:rsid w:val="00694CD2"/>
    <w:rsid w:val="006957F9"/>
    <w:rsid w:val="00697175"/>
    <w:rsid w:val="00697F20"/>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4BC"/>
    <w:rsid w:val="006F1BDC"/>
    <w:rsid w:val="006F2397"/>
    <w:rsid w:val="006F4FC4"/>
    <w:rsid w:val="006F52F0"/>
    <w:rsid w:val="006F5B8D"/>
    <w:rsid w:val="006F5C4A"/>
    <w:rsid w:val="00700D7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519D"/>
    <w:rsid w:val="0072637B"/>
    <w:rsid w:val="007270B5"/>
    <w:rsid w:val="0072710F"/>
    <w:rsid w:val="00730300"/>
    <w:rsid w:val="00731253"/>
    <w:rsid w:val="00731C64"/>
    <w:rsid w:val="007347BC"/>
    <w:rsid w:val="00734870"/>
    <w:rsid w:val="00734A70"/>
    <w:rsid w:val="007362F8"/>
    <w:rsid w:val="00742807"/>
    <w:rsid w:val="0074335C"/>
    <w:rsid w:val="007452D6"/>
    <w:rsid w:val="0074668D"/>
    <w:rsid w:val="00750CE1"/>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15F9"/>
    <w:rsid w:val="00786ABB"/>
    <w:rsid w:val="00790BEB"/>
    <w:rsid w:val="00791374"/>
    <w:rsid w:val="00792C42"/>
    <w:rsid w:val="00795CF3"/>
    <w:rsid w:val="0079746F"/>
    <w:rsid w:val="007978F4"/>
    <w:rsid w:val="007A0975"/>
    <w:rsid w:val="007A271A"/>
    <w:rsid w:val="007A2EB6"/>
    <w:rsid w:val="007A3799"/>
    <w:rsid w:val="007A495A"/>
    <w:rsid w:val="007A4EEA"/>
    <w:rsid w:val="007A54C1"/>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610F"/>
    <w:rsid w:val="007D7CA0"/>
    <w:rsid w:val="007E0053"/>
    <w:rsid w:val="007E03C5"/>
    <w:rsid w:val="007E0F84"/>
    <w:rsid w:val="007E2E2E"/>
    <w:rsid w:val="007E51AE"/>
    <w:rsid w:val="007E5926"/>
    <w:rsid w:val="007E6917"/>
    <w:rsid w:val="007E7C18"/>
    <w:rsid w:val="007F1048"/>
    <w:rsid w:val="007F23DF"/>
    <w:rsid w:val="007F35E8"/>
    <w:rsid w:val="007F366B"/>
    <w:rsid w:val="007F3DBB"/>
    <w:rsid w:val="007F677C"/>
    <w:rsid w:val="008000DF"/>
    <w:rsid w:val="00800C5A"/>
    <w:rsid w:val="00802890"/>
    <w:rsid w:val="00803385"/>
    <w:rsid w:val="008038B1"/>
    <w:rsid w:val="00804C61"/>
    <w:rsid w:val="00805530"/>
    <w:rsid w:val="00805FEA"/>
    <w:rsid w:val="00806DA3"/>
    <w:rsid w:val="00807789"/>
    <w:rsid w:val="00810E2F"/>
    <w:rsid w:val="00813510"/>
    <w:rsid w:val="0081410C"/>
    <w:rsid w:val="008163D2"/>
    <w:rsid w:val="008164D9"/>
    <w:rsid w:val="008166A3"/>
    <w:rsid w:val="00816E8C"/>
    <w:rsid w:val="00820609"/>
    <w:rsid w:val="008206EF"/>
    <w:rsid w:val="008217BE"/>
    <w:rsid w:val="00821975"/>
    <w:rsid w:val="00822451"/>
    <w:rsid w:val="0082384F"/>
    <w:rsid w:val="008238DF"/>
    <w:rsid w:val="00825511"/>
    <w:rsid w:val="0082560B"/>
    <w:rsid w:val="00837F34"/>
    <w:rsid w:val="00840781"/>
    <w:rsid w:val="00840D64"/>
    <w:rsid w:val="008434B7"/>
    <w:rsid w:val="00846B8E"/>
    <w:rsid w:val="008510DC"/>
    <w:rsid w:val="00851295"/>
    <w:rsid w:val="008513B3"/>
    <w:rsid w:val="00851460"/>
    <w:rsid w:val="008518C5"/>
    <w:rsid w:val="008523D7"/>
    <w:rsid w:val="00853C6F"/>
    <w:rsid w:val="0085488C"/>
    <w:rsid w:val="00855B88"/>
    <w:rsid w:val="0085628F"/>
    <w:rsid w:val="00857FAD"/>
    <w:rsid w:val="00861334"/>
    <w:rsid w:val="008634C6"/>
    <w:rsid w:val="00865134"/>
    <w:rsid w:val="00865580"/>
    <w:rsid w:val="0086752A"/>
    <w:rsid w:val="008725D6"/>
    <w:rsid w:val="008726CE"/>
    <w:rsid w:val="00872857"/>
    <w:rsid w:val="0087347C"/>
    <w:rsid w:val="00876258"/>
    <w:rsid w:val="00876F97"/>
    <w:rsid w:val="008810A0"/>
    <w:rsid w:val="008810CC"/>
    <w:rsid w:val="00882299"/>
    <w:rsid w:val="008859D3"/>
    <w:rsid w:val="00892950"/>
    <w:rsid w:val="00895576"/>
    <w:rsid w:val="00896C2F"/>
    <w:rsid w:val="008A1518"/>
    <w:rsid w:val="008A2E60"/>
    <w:rsid w:val="008A42F4"/>
    <w:rsid w:val="008A7EB7"/>
    <w:rsid w:val="008B0B10"/>
    <w:rsid w:val="008B0F36"/>
    <w:rsid w:val="008B25C9"/>
    <w:rsid w:val="008B41FF"/>
    <w:rsid w:val="008B62A8"/>
    <w:rsid w:val="008B6921"/>
    <w:rsid w:val="008B6E41"/>
    <w:rsid w:val="008B6E98"/>
    <w:rsid w:val="008C10D6"/>
    <w:rsid w:val="008C34FE"/>
    <w:rsid w:val="008C3692"/>
    <w:rsid w:val="008C3F9B"/>
    <w:rsid w:val="008C678C"/>
    <w:rsid w:val="008D2BA8"/>
    <w:rsid w:val="008D4FE7"/>
    <w:rsid w:val="008D674C"/>
    <w:rsid w:val="008D693B"/>
    <w:rsid w:val="008D7182"/>
    <w:rsid w:val="008E146C"/>
    <w:rsid w:val="008E23BF"/>
    <w:rsid w:val="008E43DB"/>
    <w:rsid w:val="008E4510"/>
    <w:rsid w:val="008E4645"/>
    <w:rsid w:val="008E5DF4"/>
    <w:rsid w:val="008E6EB5"/>
    <w:rsid w:val="008E6F93"/>
    <w:rsid w:val="008F0119"/>
    <w:rsid w:val="0090049A"/>
    <w:rsid w:val="00900E4A"/>
    <w:rsid w:val="00901B0D"/>
    <w:rsid w:val="00901B4D"/>
    <w:rsid w:val="00903A20"/>
    <w:rsid w:val="009046E4"/>
    <w:rsid w:val="009059DB"/>
    <w:rsid w:val="009068F8"/>
    <w:rsid w:val="00906C1C"/>
    <w:rsid w:val="00910849"/>
    <w:rsid w:val="00914309"/>
    <w:rsid w:val="009143ED"/>
    <w:rsid w:val="009159E3"/>
    <w:rsid w:val="00915F5A"/>
    <w:rsid w:val="00917052"/>
    <w:rsid w:val="0091723E"/>
    <w:rsid w:val="009202D0"/>
    <w:rsid w:val="00921568"/>
    <w:rsid w:val="00921851"/>
    <w:rsid w:val="009221AF"/>
    <w:rsid w:val="00923B80"/>
    <w:rsid w:val="00924A6E"/>
    <w:rsid w:val="0092549D"/>
    <w:rsid w:val="00926495"/>
    <w:rsid w:val="00926A52"/>
    <w:rsid w:val="0092799F"/>
    <w:rsid w:val="009305D4"/>
    <w:rsid w:val="00934117"/>
    <w:rsid w:val="00935611"/>
    <w:rsid w:val="009375EB"/>
    <w:rsid w:val="009410EE"/>
    <w:rsid w:val="00944AD0"/>
    <w:rsid w:val="00945722"/>
    <w:rsid w:val="00945900"/>
    <w:rsid w:val="009508DE"/>
    <w:rsid w:val="00951CB9"/>
    <w:rsid w:val="00953912"/>
    <w:rsid w:val="00954740"/>
    <w:rsid w:val="00957918"/>
    <w:rsid w:val="00960857"/>
    <w:rsid w:val="00960B1C"/>
    <w:rsid w:val="00962004"/>
    <w:rsid w:val="00963EFC"/>
    <w:rsid w:val="009649C1"/>
    <w:rsid w:val="00964DEA"/>
    <w:rsid w:val="00965D0C"/>
    <w:rsid w:val="00966E25"/>
    <w:rsid w:val="0096729A"/>
    <w:rsid w:val="00967C4D"/>
    <w:rsid w:val="00972025"/>
    <w:rsid w:val="0097243E"/>
    <w:rsid w:val="00972B3A"/>
    <w:rsid w:val="0097349F"/>
    <w:rsid w:val="00975725"/>
    <w:rsid w:val="009805A8"/>
    <w:rsid w:val="00981008"/>
    <w:rsid w:val="0098120D"/>
    <w:rsid w:val="0098130C"/>
    <w:rsid w:val="009822BB"/>
    <w:rsid w:val="0098276C"/>
    <w:rsid w:val="0098305C"/>
    <w:rsid w:val="00984C9E"/>
    <w:rsid w:val="009875AC"/>
    <w:rsid w:val="00987742"/>
    <w:rsid w:val="00991799"/>
    <w:rsid w:val="009921A1"/>
    <w:rsid w:val="009936A5"/>
    <w:rsid w:val="00993B8F"/>
    <w:rsid w:val="00994994"/>
    <w:rsid w:val="009950ED"/>
    <w:rsid w:val="0099523F"/>
    <w:rsid w:val="009A05EA"/>
    <w:rsid w:val="009A067E"/>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9F6160"/>
    <w:rsid w:val="00A01E0D"/>
    <w:rsid w:val="00A02E7E"/>
    <w:rsid w:val="00A03B16"/>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F10"/>
    <w:rsid w:val="00A533EF"/>
    <w:rsid w:val="00A5636E"/>
    <w:rsid w:val="00A563F4"/>
    <w:rsid w:val="00A57E5A"/>
    <w:rsid w:val="00A6158E"/>
    <w:rsid w:val="00A63430"/>
    <w:rsid w:val="00A648BE"/>
    <w:rsid w:val="00A66491"/>
    <w:rsid w:val="00A66B15"/>
    <w:rsid w:val="00A67FAA"/>
    <w:rsid w:val="00A70504"/>
    <w:rsid w:val="00A71C45"/>
    <w:rsid w:val="00A726BE"/>
    <w:rsid w:val="00A7297A"/>
    <w:rsid w:val="00A75A46"/>
    <w:rsid w:val="00A75F47"/>
    <w:rsid w:val="00A76905"/>
    <w:rsid w:val="00A800F8"/>
    <w:rsid w:val="00A804B7"/>
    <w:rsid w:val="00A82146"/>
    <w:rsid w:val="00A824D2"/>
    <w:rsid w:val="00A83E16"/>
    <w:rsid w:val="00A851DA"/>
    <w:rsid w:val="00A861AA"/>
    <w:rsid w:val="00A87E4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4128"/>
    <w:rsid w:val="00AC4733"/>
    <w:rsid w:val="00AD0385"/>
    <w:rsid w:val="00AD09A4"/>
    <w:rsid w:val="00AD22A7"/>
    <w:rsid w:val="00AD3E18"/>
    <w:rsid w:val="00AD494C"/>
    <w:rsid w:val="00AD4CB7"/>
    <w:rsid w:val="00AD5526"/>
    <w:rsid w:val="00AD5960"/>
    <w:rsid w:val="00AD61C5"/>
    <w:rsid w:val="00AE04CB"/>
    <w:rsid w:val="00AE0CF9"/>
    <w:rsid w:val="00AE1B78"/>
    <w:rsid w:val="00AE316C"/>
    <w:rsid w:val="00AE41C8"/>
    <w:rsid w:val="00AE519A"/>
    <w:rsid w:val="00AE5B37"/>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432A7"/>
    <w:rsid w:val="00B45003"/>
    <w:rsid w:val="00B5110F"/>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773"/>
    <w:rsid w:val="00B754C0"/>
    <w:rsid w:val="00B759A8"/>
    <w:rsid w:val="00B80396"/>
    <w:rsid w:val="00B81359"/>
    <w:rsid w:val="00B8389E"/>
    <w:rsid w:val="00B86A2C"/>
    <w:rsid w:val="00B90A29"/>
    <w:rsid w:val="00B93CEB"/>
    <w:rsid w:val="00B950E7"/>
    <w:rsid w:val="00B95BAD"/>
    <w:rsid w:val="00BA0E42"/>
    <w:rsid w:val="00BA100B"/>
    <w:rsid w:val="00BA1AB1"/>
    <w:rsid w:val="00BA4890"/>
    <w:rsid w:val="00BA5E01"/>
    <w:rsid w:val="00BA5E5A"/>
    <w:rsid w:val="00BA6A35"/>
    <w:rsid w:val="00BB029B"/>
    <w:rsid w:val="00BB0A5B"/>
    <w:rsid w:val="00BB25B6"/>
    <w:rsid w:val="00BB5596"/>
    <w:rsid w:val="00BB5778"/>
    <w:rsid w:val="00BC434D"/>
    <w:rsid w:val="00BC69E7"/>
    <w:rsid w:val="00BC7682"/>
    <w:rsid w:val="00BC7D60"/>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78B4"/>
    <w:rsid w:val="00C17C45"/>
    <w:rsid w:val="00C2193D"/>
    <w:rsid w:val="00C2212E"/>
    <w:rsid w:val="00C22382"/>
    <w:rsid w:val="00C22884"/>
    <w:rsid w:val="00C26045"/>
    <w:rsid w:val="00C27FC1"/>
    <w:rsid w:val="00C306E0"/>
    <w:rsid w:val="00C313BB"/>
    <w:rsid w:val="00C33395"/>
    <w:rsid w:val="00C33CE9"/>
    <w:rsid w:val="00C340A1"/>
    <w:rsid w:val="00C34E7A"/>
    <w:rsid w:val="00C36914"/>
    <w:rsid w:val="00C3736F"/>
    <w:rsid w:val="00C37454"/>
    <w:rsid w:val="00C47B25"/>
    <w:rsid w:val="00C47EA7"/>
    <w:rsid w:val="00C50285"/>
    <w:rsid w:val="00C5029A"/>
    <w:rsid w:val="00C50798"/>
    <w:rsid w:val="00C53193"/>
    <w:rsid w:val="00C5393A"/>
    <w:rsid w:val="00C540C8"/>
    <w:rsid w:val="00C55A4E"/>
    <w:rsid w:val="00C56F5C"/>
    <w:rsid w:val="00C5757D"/>
    <w:rsid w:val="00C57BD4"/>
    <w:rsid w:val="00C6305C"/>
    <w:rsid w:val="00C648EB"/>
    <w:rsid w:val="00C70A82"/>
    <w:rsid w:val="00C70B76"/>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B056F"/>
    <w:rsid w:val="00CB1531"/>
    <w:rsid w:val="00CB18E5"/>
    <w:rsid w:val="00CB1B5A"/>
    <w:rsid w:val="00CB20F7"/>
    <w:rsid w:val="00CB4E0B"/>
    <w:rsid w:val="00CB6FE3"/>
    <w:rsid w:val="00CB7EA1"/>
    <w:rsid w:val="00CC1259"/>
    <w:rsid w:val="00CC2FC4"/>
    <w:rsid w:val="00CC7FEF"/>
    <w:rsid w:val="00CD087A"/>
    <w:rsid w:val="00CD0A30"/>
    <w:rsid w:val="00CD1498"/>
    <w:rsid w:val="00CD33FD"/>
    <w:rsid w:val="00CD5C5C"/>
    <w:rsid w:val="00CE236C"/>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BF4"/>
    <w:rsid w:val="00D143D8"/>
    <w:rsid w:val="00D14B07"/>
    <w:rsid w:val="00D16419"/>
    <w:rsid w:val="00D17573"/>
    <w:rsid w:val="00D17BDF"/>
    <w:rsid w:val="00D227F2"/>
    <w:rsid w:val="00D2529C"/>
    <w:rsid w:val="00D30368"/>
    <w:rsid w:val="00D31C91"/>
    <w:rsid w:val="00D3201A"/>
    <w:rsid w:val="00D3442C"/>
    <w:rsid w:val="00D35D36"/>
    <w:rsid w:val="00D36E24"/>
    <w:rsid w:val="00D373A4"/>
    <w:rsid w:val="00D474FF"/>
    <w:rsid w:val="00D50DCB"/>
    <w:rsid w:val="00D51D76"/>
    <w:rsid w:val="00D529D9"/>
    <w:rsid w:val="00D578C6"/>
    <w:rsid w:val="00D60FBA"/>
    <w:rsid w:val="00D61A52"/>
    <w:rsid w:val="00D620B4"/>
    <w:rsid w:val="00D62277"/>
    <w:rsid w:val="00D62D1C"/>
    <w:rsid w:val="00D645C6"/>
    <w:rsid w:val="00D648DF"/>
    <w:rsid w:val="00D650B3"/>
    <w:rsid w:val="00D658EC"/>
    <w:rsid w:val="00D661A3"/>
    <w:rsid w:val="00D679CC"/>
    <w:rsid w:val="00D703DC"/>
    <w:rsid w:val="00D72210"/>
    <w:rsid w:val="00D73237"/>
    <w:rsid w:val="00D739EF"/>
    <w:rsid w:val="00D73EA5"/>
    <w:rsid w:val="00D75C75"/>
    <w:rsid w:val="00D76079"/>
    <w:rsid w:val="00D76810"/>
    <w:rsid w:val="00D814A0"/>
    <w:rsid w:val="00D84C7A"/>
    <w:rsid w:val="00D85DB8"/>
    <w:rsid w:val="00D871E3"/>
    <w:rsid w:val="00D8726A"/>
    <w:rsid w:val="00D93302"/>
    <w:rsid w:val="00D96E5B"/>
    <w:rsid w:val="00D97E7A"/>
    <w:rsid w:val="00DA13D9"/>
    <w:rsid w:val="00DA318B"/>
    <w:rsid w:val="00DA35B4"/>
    <w:rsid w:val="00DA49ED"/>
    <w:rsid w:val="00DA6777"/>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9D7"/>
    <w:rsid w:val="00DD3875"/>
    <w:rsid w:val="00DD510B"/>
    <w:rsid w:val="00DD5B66"/>
    <w:rsid w:val="00DD5FDD"/>
    <w:rsid w:val="00DD6AB1"/>
    <w:rsid w:val="00DD7CFE"/>
    <w:rsid w:val="00DD7F82"/>
    <w:rsid w:val="00DE2097"/>
    <w:rsid w:val="00DE28D9"/>
    <w:rsid w:val="00DE2C29"/>
    <w:rsid w:val="00DE2FAA"/>
    <w:rsid w:val="00DE4B29"/>
    <w:rsid w:val="00DE6A23"/>
    <w:rsid w:val="00DE7B5C"/>
    <w:rsid w:val="00DF4258"/>
    <w:rsid w:val="00DF446F"/>
    <w:rsid w:val="00DF46DF"/>
    <w:rsid w:val="00DF4DC8"/>
    <w:rsid w:val="00E00A8B"/>
    <w:rsid w:val="00E03920"/>
    <w:rsid w:val="00E03E13"/>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CFD"/>
    <w:rsid w:val="00E47F3D"/>
    <w:rsid w:val="00E52283"/>
    <w:rsid w:val="00E5241F"/>
    <w:rsid w:val="00E52C21"/>
    <w:rsid w:val="00E54269"/>
    <w:rsid w:val="00E55A01"/>
    <w:rsid w:val="00E614DF"/>
    <w:rsid w:val="00E61878"/>
    <w:rsid w:val="00E6200E"/>
    <w:rsid w:val="00E63A6C"/>
    <w:rsid w:val="00E65ABA"/>
    <w:rsid w:val="00E6683F"/>
    <w:rsid w:val="00E671D4"/>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4355"/>
    <w:rsid w:val="00EB6363"/>
    <w:rsid w:val="00EC0668"/>
    <w:rsid w:val="00EC2A54"/>
    <w:rsid w:val="00EC37CC"/>
    <w:rsid w:val="00EC4EA3"/>
    <w:rsid w:val="00EC6A52"/>
    <w:rsid w:val="00EC74BC"/>
    <w:rsid w:val="00EC79A1"/>
    <w:rsid w:val="00ED3477"/>
    <w:rsid w:val="00ED41E8"/>
    <w:rsid w:val="00ED42EA"/>
    <w:rsid w:val="00ED793B"/>
    <w:rsid w:val="00EE31CB"/>
    <w:rsid w:val="00EE6178"/>
    <w:rsid w:val="00EE6541"/>
    <w:rsid w:val="00EE6C14"/>
    <w:rsid w:val="00EE7424"/>
    <w:rsid w:val="00EE7F4E"/>
    <w:rsid w:val="00EF0CC4"/>
    <w:rsid w:val="00EF340F"/>
    <w:rsid w:val="00EF4142"/>
    <w:rsid w:val="00EF533D"/>
    <w:rsid w:val="00EF5FC4"/>
    <w:rsid w:val="00F01BB9"/>
    <w:rsid w:val="00F0612B"/>
    <w:rsid w:val="00F108A0"/>
    <w:rsid w:val="00F119E7"/>
    <w:rsid w:val="00F13FF4"/>
    <w:rsid w:val="00F14F16"/>
    <w:rsid w:val="00F159E6"/>
    <w:rsid w:val="00F1705B"/>
    <w:rsid w:val="00F22A08"/>
    <w:rsid w:val="00F23575"/>
    <w:rsid w:val="00F2571B"/>
    <w:rsid w:val="00F30CF6"/>
    <w:rsid w:val="00F3139E"/>
    <w:rsid w:val="00F32A52"/>
    <w:rsid w:val="00F339BC"/>
    <w:rsid w:val="00F34E05"/>
    <w:rsid w:val="00F37124"/>
    <w:rsid w:val="00F41A56"/>
    <w:rsid w:val="00F463BA"/>
    <w:rsid w:val="00F47256"/>
    <w:rsid w:val="00F5318F"/>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7CCA"/>
    <w:rsid w:val="00FD073E"/>
    <w:rsid w:val="00FD2DB5"/>
    <w:rsid w:val="00FD4864"/>
    <w:rsid w:val="00FD5CB2"/>
    <w:rsid w:val="00FD6A2F"/>
    <w:rsid w:val="00FD6D4B"/>
    <w:rsid w:val="00FE17D7"/>
    <w:rsid w:val="00FE44EE"/>
    <w:rsid w:val="00FE5A3E"/>
    <w:rsid w:val="00FE654B"/>
    <w:rsid w:val="00FE6ECB"/>
    <w:rsid w:val="00FF0A8B"/>
    <w:rsid w:val="00FF1E41"/>
    <w:rsid w:val="00FF4372"/>
    <w:rsid w:val="00FF59E7"/>
    <w:rsid w:val="00FF7BD9"/>
    <w:rsid w:val="09630209"/>
    <w:rsid w:val="0CD93D06"/>
    <w:rsid w:val="0D9C70D9"/>
    <w:rsid w:val="0DE7465B"/>
    <w:rsid w:val="10185A7B"/>
    <w:rsid w:val="12C50C1A"/>
    <w:rsid w:val="17F301A9"/>
    <w:rsid w:val="19EF1374"/>
    <w:rsid w:val="1B813CE0"/>
    <w:rsid w:val="22624C8B"/>
    <w:rsid w:val="2F7A734E"/>
    <w:rsid w:val="3B537E3D"/>
    <w:rsid w:val="4DF0361D"/>
    <w:rsid w:val="4E9F73FB"/>
    <w:rsid w:val="54E86EE4"/>
    <w:rsid w:val="55AC4B21"/>
    <w:rsid w:val="5AA727CA"/>
    <w:rsid w:val="5CF01AC2"/>
    <w:rsid w:val="5D4E5899"/>
    <w:rsid w:val="60895EF6"/>
    <w:rsid w:val="612748DD"/>
    <w:rsid w:val="68AE668B"/>
    <w:rsid w:val="69955344"/>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字符"/>
    <w:link w:val="14"/>
    <w:qFormat/>
    <w:locked/>
    <w:uiPriority w:val="0"/>
    <w:rPr>
      <w:rFonts w:cs="Times New Roman"/>
      <w:sz w:val="18"/>
      <w:szCs w:val="18"/>
    </w:rPr>
  </w:style>
  <w:style w:type="character" w:customStyle="1" w:styleId="28">
    <w:name w:val="页脚 字符"/>
    <w:link w:val="13"/>
    <w:qFormat/>
    <w:locked/>
    <w:uiPriority w:val="99"/>
    <w:rPr>
      <w:rFonts w:cs="Times New Roman"/>
      <w:sz w:val="18"/>
      <w:szCs w:val="18"/>
    </w:rPr>
  </w:style>
  <w:style w:type="character" w:customStyle="1" w:styleId="29">
    <w:name w:val="文档结构图 字符"/>
    <w:link w:val="5"/>
    <w:qFormat/>
    <w:locked/>
    <w:uiPriority w:val="0"/>
    <w:rPr>
      <w:rFonts w:ascii="宋体" w:cs="Times New Roman"/>
      <w:sz w:val="18"/>
      <w:szCs w:val="18"/>
    </w:rPr>
  </w:style>
  <w:style w:type="character" w:customStyle="1" w:styleId="30">
    <w:name w:val="标题 1 字符"/>
    <w:link w:val="2"/>
    <w:qFormat/>
    <w:locked/>
    <w:uiPriority w:val="0"/>
    <w:rPr>
      <w:rFonts w:cs="Times New Roman"/>
      <w:b/>
      <w:bCs/>
      <w:kern w:val="44"/>
      <w:sz w:val="44"/>
      <w:szCs w:val="44"/>
    </w:rPr>
  </w:style>
  <w:style w:type="character" w:customStyle="1" w:styleId="31">
    <w:name w:val="批注框文本 字符"/>
    <w:link w:val="12"/>
    <w:qFormat/>
    <w:locked/>
    <w:uiPriority w:val="0"/>
    <w:rPr>
      <w:rFonts w:cs="Times New Roman"/>
      <w:sz w:val="18"/>
      <w:szCs w:val="18"/>
    </w:rPr>
  </w:style>
  <w:style w:type="character" w:customStyle="1" w:styleId="32">
    <w:name w:val="日期 字符"/>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字符"/>
    <w:link w:val="3"/>
    <w:qFormat/>
    <w:locked/>
    <w:uiPriority w:val="0"/>
    <w:rPr>
      <w:rFonts w:ascii="宋体" w:eastAsia="宋体" w:cs="Times New Roman"/>
      <w:b/>
      <w:bCs/>
      <w:sz w:val="36"/>
      <w:szCs w:val="36"/>
    </w:rPr>
  </w:style>
  <w:style w:type="character" w:customStyle="1" w:styleId="35">
    <w:name w:val="正文文本缩进 3 字符"/>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字符"/>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字符"/>
    <w:link w:val="11"/>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正文文本 字符"/>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字符"/>
    <w:link w:val="6"/>
    <w:qFormat/>
    <w:locked/>
    <w:uiPriority w:val="0"/>
    <w:rPr>
      <w:rFonts w:ascii="Calibri" w:hAnsi="Calibri" w:cs="Calibri"/>
      <w:kern w:val="2"/>
      <w:sz w:val="21"/>
      <w:szCs w:val="21"/>
    </w:rPr>
  </w:style>
  <w:style w:type="character" w:customStyle="1" w:styleId="51">
    <w:name w:val="批注主题 字符"/>
    <w:link w:val="17"/>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220B2-451C-4FE2-B6A4-F974CA4CFBA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16</Pages>
  <Words>2094</Words>
  <Characters>11942</Characters>
  <Lines>99</Lines>
  <Paragraphs>28</Paragraphs>
  <TotalTime>1</TotalTime>
  <ScaleCrop>false</ScaleCrop>
  <LinksUpToDate>false</LinksUpToDate>
  <CharactersWithSpaces>14008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2019-11-27T09:18:00Z</dcterms:created>
  <dc:creator>LIU</dc:creator>
  <cp:lastModifiedBy>心旷神怡</cp:lastModifiedBy>
  <cp:lastPrinted>2019-04-17T01:33:00Z</cp:lastPrinted>
  <dcterms:modified xsi:type="dcterms:W3CDTF">2020-12-09T08:15:06Z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